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2D2F" w:rsidRDefault="00F52D2F">
      <w:pPr>
        <w:spacing w:before="80"/>
      </w:pPr>
    </w:p>
    <w:p w:rsidR="00F52D2F" w:rsidRPr="001D311E" w:rsidRDefault="001253C5">
      <w:pPr>
        <w:spacing w:after="40"/>
        <w:rPr>
          <w:lang w:val="en-GB"/>
        </w:rPr>
      </w:pPr>
      <w:r w:rsidRPr="001D311E">
        <w:rPr>
          <w:b/>
          <w:bCs/>
          <w:color w:val="1B2A4A"/>
          <w:sz w:val="56"/>
          <w:szCs w:val="56"/>
          <w:lang w:val="en-GB"/>
        </w:rPr>
        <w:t>TEACHING NOTES</w:t>
      </w:r>
    </w:p>
    <w:p w:rsidR="00F52D2F" w:rsidRPr="001D311E" w:rsidRDefault="001253C5">
      <w:pPr>
        <w:spacing w:after="40"/>
        <w:rPr>
          <w:lang w:val="en-GB"/>
        </w:rPr>
      </w:pPr>
      <w:r w:rsidRPr="001D311E">
        <w:rPr>
          <w:color w:val="0D7377"/>
          <w:sz w:val="30"/>
          <w:szCs w:val="30"/>
          <w:lang w:val="en-GB"/>
        </w:rPr>
        <w:t xml:space="preserve">GRC </w:t>
      </w:r>
      <w:proofErr w:type="gramStart"/>
      <w:r w:rsidRPr="001D311E">
        <w:rPr>
          <w:color w:val="0D7377"/>
          <w:sz w:val="30"/>
          <w:szCs w:val="30"/>
          <w:lang w:val="en-GB"/>
        </w:rPr>
        <w:t>Principles  &amp;</w:t>
      </w:r>
      <w:proofErr w:type="gramEnd"/>
      <w:r w:rsidRPr="001D311E">
        <w:rPr>
          <w:color w:val="0D7377"/>
          <w:sz w:val="30"/>
          <w:szCs w:val="30"/>
          <w:lang w:val="en-GB"/>
        </w:rPr>
        <w:t xml:space="preserve">  Compliance Frameworks</w:t>
      </w:r>
    </w:p>
    <w:p w:rsidR="00F52D2F" w:rsidRPr="001D311E" w:rsidRDefault="001253C5">
      <w:pPr>
        <w:spacing w:after="120"/>
        <w:rPr>
          <w:lang w:val="en-GB"/>
        </w:rPr>
      </w:pPr>
      <w:r w:rsidRPr="001D311E">
        <w:rPr>
          <w:sz w:val="19"/>
          <w:szCs w:val="19"/>
          <w:lang w:val="en-GB"/>
        </w:rPr>
        <w:t>Session 1: 4:00–</w:t>
      </w:r>
      <w:proofErr w:type="gramStart"/>
      <w:r w:rsidRPr="001D311E">
        <w:rPr>
          <w:sz w:val="19"/>
          <w:szCs w:val="19"/>
          <w:lang w:val="en-GB"/>
        </w:rPr>
        <w:t>5:20pm  ·</w:t>
      </w:r>
      <w:proofErr w:type="gramEnd"/>
      <w:r w:rsidRPr="001D311E">
        <w:rPr>
          <w:sz w:val="19"/>
          <w:szCs w:val="19"/>
          <w:lang w:val="en-GB"/>
        </w:rPr>
        <w:t xml:space="preserve">  Session 2: 5:30–6:50pm  ·  May 5, 2026  ·  IE Law School</w:t>
      </w:r>
    </w:p>
    <w:p w:rsidR="00F52D2F" w:rsidRPr="001D311E" w:rsidRDefault="00F52D2F">
      <w:pPr>
        <w:pBdr>
          <w:bottom w:val="single" w:sz="8" w:space="0" w:color="1B2A4A"/>
        </w:pBdr>
        <w:spacing w:after="80"/>
        <w:rPr>
          <w:lang w:val="en-GB"/>
        </w:rPr>
      </w:pPr>
    </w:p>
    <w:p w:rsidR="00F52D2F" w:rsidRPr="001D311E" w:rsidRDefault="00F52D2F">
      <w:pPr>
        <w:spacing w:before="60"/>
        <w:rPr>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F52D2F">
        <w:tc>
          <w:tcPr>
            <w:tcW w:w="0" w:type="auto"/>
            <w:tcBorders>
              <w:top w:val="single" w:sz="1" w:space="0" w:color="0D7377"/>
              <w:left w:val="single" w:sz="1" w:space="0" w:color="0D7377"/>
              <w:bottom w:val="single" w:sz="1" w:space="0" w:color="0D7377"/>
              <w:right w:val="single" w:sz="1" w:space="0" w:color="0D7377"/>
            </w:tcBorders>
            <w:shd w:val="clear" w:color="auto" w:fill="EFF6FF"/>
            <w:tcMar>
              <w:top w:w="120" w:type="dxa"/>
              <w:left w:w="200" w:type="dxa"/>
              <w:bottom w:w="120" w:type="dxa"/>
              <w:right w:w="200" w:type="dxa"/>
            </w:tcMar>
          </w:tcPr>
          <w:p w:rsidR="00F52D2F" w:rsidRPr="001D311E" w:rsidRDefault="001253C5">
            <w:pPr>
              <w:spacing w:after="60"/>
              <w:rPr>
                <w:lang w:val="en-GB"/>
              </w:rPr>
            </w:pPr>
            <w:r w:rsidRPr="001D311E">
              <w:rPr>
                <w:b/>
                <w:bCs/>
                <w:color w:val="1B2A4A"/>
                <w:lang w:val="en-GB"/>
              </w:rPr>
              <w:t>How to use these notes</w:t>
            </w:r>
          </w:p>
          <w:p w:rsidR="00F52D2F" w:rsidRPr="001D311E" w:rsidRDefault="001253C5">
            <w:pPr>
              <w:spacing w:before="50" w:after="50"/>
              <w:rPr>
                <w:lang w:val="en-GB"/>
              </w:rPr>
            </w:pPr>
            <w:r w:rsidRPr="001D311E">
              <w:rPr>
                <w:lang w:val="en-GB"/>
              </w:rPr>
              <w:t>These are teaching notes — not a script. Each section gives you the core argument, the key conceptual moves in the order they should land, the discussion questions with the most important follow-up, and what to watch for. Read them before the session to internalise the structure. Don't refer to them while teaching.</w:t>
            </w:r>
          </w:p>
          <w:p w:rsidR="00F52D2F" w:rsidRPr="001D311E" w:rsidRDefault="00F52D2F">
            <w:pPr>
              <w:spacing w:before="40"/>
              <w:rPr>
                <w:lang w:val="en-GB"/>
              </w:rPr>
            </w:pPr>
          </w:p>
          <w:p w:rsidR="00F52D2F" w:rsidRDefault="001253C5">
            <w:pPr>
              <w:spacing w:before="50" w:after="50"/>
            </w:pPr>
            <w:r w:rsidRPr="001D311E">
              <w:rPr>
                <w:lang w:val="en-GB"/>
              </w:rPr>
              <w:t xml:space="preserve">Callout boxes are colour-coded:  QUESTION (teal) — the discussion question and what to listen for.  WATCH-OUT (red) — what can go wrong.  TRANSITION (gold) — how to move to the next section.  </w:t>
            </w:r>
            <w:r>
              <w:t>NOTE (</w:t>
            </w:r>
            <w:proofErr w:type="spellStart"/>
            <w:r>
              <w:t>grey</w:t>
            </w:r>
            <w:proofErr w:type="spellEnd"/>
            <w:r>
              <w:t xml:space="preserve">) — </w:t>
            </w:r>
            <w:proofErr w:type="spellStart"/>
            <w:r>
              <w:t>context</w:t>
            </w:r>
            <w:proofErr w:type="spellEnd"/>
            <w:r>
              <w:t xml:space="preserve"> or </w:t>
            </w:r>
            <w:proofErr w:type="spellStart"/>
            <w:r>
              <w:t>background</w:t>
            </w:r>
            <w:proofErr w:type="spellEnd"/>
            <w:r>
              <w:t xml:space="preserve"> </w:t>
            </w:r>
            <w:proofErr w:type="spellStart"/>
            <w:r>
              <w:t>you</w:t>
            </w:r>
            <w:proofErr w:type="spellEnd"/>
            <w:r>
              <w:t xml:space="preserve"> </w:t>
            </w:r>
            <w:proofErr w:type="spellStart"/>
            <w:r>
              <w:t>may</w:t>
            </w:r>
            <w:proofErr w:type="spellEnd"/>
            <w:r>
              <w:t xml:space="preserve"> </w:t>
            </w:r>
            <w:proofErr w:type="spellStart"/>
            <w:r>
              <w:t>want</w:t>
            </w:r>
            <w:proofErr w:type="spellEnd"/>
            <w:r>
              <w:t>.</w:t>
            </w:r>
          </w:p>
        </w:tc>
      </w:tr>
    </w:tbl>
    <w:p w:rsidR="00F52D2F" w:rsidRDefault="00F52D2F">
      <w:pPr>
        <w:spacing w:before="200"/>
      </w:pPr>
    </w:p>
    <w:p w:rsidR="00F52D2F" w:rsidRDefault="001253C5">
      <w:pPr>
        <w:shd w:val="clear" w:color="auto" w:fill="1B2A4A"/>
        <w:spacing w:before="280" w:after="100"/>
        <w:ind w:left="200"/>
      </w:pPr>
      <w:r>
        <w:rPr>
          <w:b/>
          <w:bCs/>
          <w:color w:val="FFFFFF"/>
          <w:sz w:val="30"/>
          <w:szCs w:val="30"/>
        </w:rPr>
        <w:t xml:space="preserve">SESSION 1 — GRC </w:t>
      </w:r>
      <w:proofErr w:type="spellStart"/>
      <w:r>
        <w:rPr>
          <w:b/>
          <w:bCs/>
          <w:color w:val="FFFFFF"/>
          <w:sz w:val="30"/>
          <w:szCs w:val="30"/>
        </w:rPr>
        <w:t>Principles</w:t>
      </w:r>
      <w:proofErr w:type="spellEnd"/>
    </w:p>
    <w:p w:rsidR="00F52D2F" w:rsidRPr="001D311E" w:rsidRDefault="001253C5">
      <w:pPr>
        <w:spacing w:before="50" w:after="50"/>
        <w:rPr>
          <w:lang w:val="en-GB"/>
        </w:rPr>
      </w:pPr>
      <w:r w:rsidRPr="001D311E">
        <w:rPr>
          <w:color w:val="94A3B8"/>
          <w:sz w:val="17"/>
          <w:szCs w:val="17"/>
          <w:lang w:val="en-GB"/>
        </w:rPr>
        <w:t>4:00–</w:t>
      </w:r>
      <w:proofErr w:type="gramStart"/>
      <w:r w:rsidRPr="001D311E">
        <w:rPr>
          <w:color w:val="94A3B8"/>
          <w:sz w:val="17"/>
          <w:szCs w:val="17"/>
          <w:lang w:val="en-GB"/>
        </w:rPr>
        <w:t>5:20pm  ·</w:t>
      </w:r>
      <w:proofErr w:type="gramEnd"/>
      <w:r w:rsidRPr="001D311E">
        <w:rPr>
          <w:color w:val="94A3B8"/>
          <w:sz w:val="17"/>
          <w:szCs w:val="17"/>
          <w:lang w:val="en-GB"/>
        </w:rPr>
        <w:t xml:space="preserve">  80 minutes  ·  13 main slides + 8 backup slides</w:t>
      </w:r>
    </w:p>
    <w:p w:rsidR="00F52D2F" w:rsidRPr="001D311E" w:rsidRDefault="00F52D2F">
      <w:pPr>
        <w:spacing w:before="60"/>
        <w:rPr>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F52D2F">
        <w:tc>
          <w:tcPr>
            <w:tcW w:w="0" w:type="auto"/>
            <w:tcBorders>
              <w:top w:val="single" w:sz="1" w:space="0" w:color="1B2A4A"/>
              <w:left w:val="single" w:sz="1" w:space="0" w:color="1B2A4A"/>
              <w:bottom w:val="single" w:sz="1" w:space="0" w:color="1B2A4A"/>
              <w:right w:val="single" w:sz="1" w:space="0" w:color="1B2A4A"/>
            </w:tcBorders>
            <w:shd w:val="clear" w:color="auto" w:fill="E2E8F0"/>
            <w:tcMar>
              <w:top w:w="100" w:type="dxa"/>
              <w:left w:w="180" w:type="dxa"/>
              <w:bottom w:w="100" w:type="dxa"/>
              <w:right w:w="180" w:type="dxa"/>
            </w:tcMar>
          </w:tcPr>
          <w:p w:rsidR="00F52D2F" w:rsidRPr="001D311E" w:rsidRDefault="001253C5">
            <w:pPr>
              <w:spacing w:before="50" w:after="50"/>
              <w:rPr>
                <w:lang w:val="en-GB"/>
              </w:rPr>
            </w:pPr>
            <w:r w:rsidRPr="001D311E">
              <w:rPr>
                <w:b/>
                <w:bCs/>
                <w:color w:val="1B2A4A"/>
                <w:lang w:val="en-GB"/>
              </w:rPr>
              <w:t>Session goal: Make their existing professional knowledge visible to themselves — where it came from, whether it is actually theirs. Introduce governance, risk and compliance as disciplines with distinct logics. Set up the question Session 2 will answer. Leave them with something unresolved.</w:t>
            </w:r>
          </w:p>
          <w:p w:rsidR="00F52D2F" w:rsidRPr="001D311E" w:rsidRDefault="00F52D2F">
            <w:pPr>
              <w:spacing w:before="40"/>
              <w:rPr>
                <w:lang w:val="en-GB"/>
              </w:rPr>
            </w:pPr>
          </w:p>
          <w:p w:rsidR="00F52D2F" w:rsidRDefault="001253C5">
            <w:pPr>
              <w:spacing w:before="50" w:after="50"/>
            </w:pPr>
            <w:r w:rsidRPr="001D311E">
              <w:rPr>
                <w:lang w:val="en-GB"/>
              </w:rPr>
              <w:t xml:space="preserve">Energy note: They have been in the program for five weeks. They know each other. You are the first person to ask them to question what they know rather than receive more. </w:t>
            </w:r>
            <w:proofErr w:type="spellStart"/>
            <w:r>
              <w:t>That</w:t>
            </w:r>
            <w:proofErr w:type="spellEnd"/>
            <w:r>
              <w:t xml:space="preserve"> shift </w:t>
            </w:r>
            <w:proofErr w:type="spellStart"/>
            <w:r>
              <w:t>should</w:t>
            </w:r>
            <w:proofErr w:type="spellEnd"/>
            <w:r>
              <w:t xml:space="preserve"> </w:t>
            </w:r>
            <w:proofErr w:type="spellStart"/>
            <w:r>
              <w:t>be</w:t>
            </w:r>
            <w:proofErr w:type="spellEnd"/>
            <w:r>
              <w:t xml:space="preserve"> felt from the </w:t>
            </w:r>
            <w:proofErr w:type="spellStart"/>
            <w:r>
              <w:t>first</w:t>
            </w:r>
            <w:proofErr w:type="spellEnd"/>
            <w:r>
              <w:t xml:space="preserve"> slide.</w:t>
            </w:r>
          </w:p>
        </w:tc>
      </w:tr>
    </w:tbl>
    <w:p w:rsidR="00F52D2F" w:rsidRDefault="00F52D2F">
      <w:pPr>
        <w:spacing w:before="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60"/>
        <w:gridCol w:w="1800"/>
        <w:gridCol w:w="1800"/>
      </w:tblGrid>
      <w:tr w:rsidR="00F52D2F">
        <w:tc>
          <w:tcPr>
            <w:tcW w:w="5760" w:type="dxa"/>
            <w:tcBorders>
              <w:top w:val="none" w:sz="0" w:space="0" w:color="FFFFFF"/>
              <w:left w:val="none" w:sz="0" w:space="0" w:color="FFFFFF"/>
              <w:bottom w:val="none" w:sz="0" w:space="0" w:color="FFFFFF"/>
              <w:right w:val="none" w:sz="0" w:space="0" w:color="FFFFFF"/>
            </w:tcBorders>
            <w:shd w:val="clear" w:color="auto" w:fill="0D7377"/>
            <w:tcMar>
              <w:top w:w="80" w:type="dxa"/>
              <w:left w:w="160" w:type="dxa"/>
              <w:bottom w:w="80" w:type="dxa"/>
              <w:right w:w="120" w:type="dxa"/>
            </w:tcMar>
          </w:tcPr>
          <w:p w:rsidR="00F52D2F" w:rsidRDefault="001253C5">
            <w:r>
              <w:rPr>
                <w:b/>
                <w:bCs/>
                <w:color w:val="FFFFFF"/>
                <w:sz w:val="22"/>
                <w:szCs w:val="22"/>
              </w:rPr>
              <w:t xml:space="preserve">OPENING — The Definition </w:t>
            </w:r>
            <w:proofErr w:type="spellStart"/>
            <w:r>
              <w:rPr>
                <w:b/>
                <w:bCs/>
                <w:color w:val="FFFFFF"/>
                <w:sz w:val="22"/>
                <w:szCs w:val="22"/>
              </w:rPr>
              <w:t>Exercise</w:t>
            </w:r>
            <w:proofErr w:type="spellEnd"/>
          </w:p>
        </w:tc>
        <w:tc>
          <w:tcPr>
            <w:tcW w:w="1800" w:type="dxa"/>
            <w:tcBorders>
              <w:top w:val="none" w:sz="0" w:space="0" w:color="FFFFFF"/>
              <w:left w:val="none" w:sz="0" w:space="0" w:color="FFFFFF"/>
              <w:bottom w:val="none" w:sz="0" w:space="0" w:color="FFFFFF"/>
              <w:right w:val="none" w:sz="0" w:space="0" w:color="FFFFFF"/>
            </w:tcBorders>
            <w:shd w:val="clear" w:color="auto" w:fill="0A5B5E"/>
            <w:tcMar>
              <w:top w:w="80" w:type="dxa"/>
              <w:left w:w="120" w:type="dxa"/>
              <w:bottom w:w="80" w:type="dxa"/>
              <w:right w:w="120" w:type="dxa"/>
            </w:tcMar>
            <w:vAlign w:val="center"/>
          </w:tcPr>
          <w:p w:rsidR="00F52D2F" w:rsidRDefault="001253C5">
            <w:pPr>
              <w:jc w:val="center"/>
            </w:pPr>
            <w:r>
              <w:rPr>
                <w:color w:val="FFFFFF"/>
                <w:sz w:val="18"/>
                <w:szCs w:val="18"/>
              </w:rPr>
              <w:t>0:00 — 0:18</w:t>
            </w:r>
          </w:p>
        </w:tc>
        <w:tc>
          <w:tcPr>
            <w:tcW w:w="1800" w:type="dxa"/>
            <w:tcBorders>
              <w:top w:val="none" w:sz="0" w:space="0" w:color="FFFFFF"/>
              <w:left w:val="none" w:sz="0" w:space="0" w:color="FFFFFF"/>
              <w:bottom w:val="none" w:sz="0" w:space="0" w:color="FFFFFF"/>
              <w:right w:val="none" w:sz="0" w:space="0" w:color="FFFFFF"/>
            </w:tcBorders>
            <w:shd w:val="clear" w:color="auto" w:fill="084F52"/>
            <w:tcMar>
              <w:top w:w="80" w:type="dxa"/>
              <w:left w:w="120" w:type="dxa"/>
              <w:bottom w:w="80" w:type="dxa"/>
              <w:right w:w="120" w:type="dxa"/>
            </w:tcMar>
            <w:vAlign w:val="center"/>
          </w:tcPr>
          <w:p w:rsidR="00F52D2F" w:rsidRDefault="001253C5">
            <w:pPr>
              <w:jc w:val="center"/>
            </w:pPr>
            <w:r>
              <w:rPr>
                <w:color w:val="FFFFFF"/>
                <w:sz w:val="18"/>
                <w:szCs w:val="18"/>
              </w:rPr>
              <w:t>Slides 1–3</w:t>
            </w:r>
          </w:p>
        </w:tc>
      </w:tr>
    </w:tbl>
    <w:p w:rsidR="00F52D2F" w:rsidRDefault="00F52D2F">
      <w:pPr>
        <w:spacing w:before="80"/>
      </w:pPr>
    </w:p>
    <w:p w:rsidR="00F52D2F" w:rsidRDefault="001253C5">
      <w:pPr>
        <w:spacing w:before="200" w:after="60"/>
      </w:pPr>
      <w:proofErr w:type="spellStart"/>
      <w:r>
        <w:rPr>
          <w:b/>
          <w:bCs/>
          <w:color w:val="0D7377"/>
          <w:sz w:val="21"/>
          <w:szCs w:val="21"/>
        </w:rPr>
        <w:t>What</w:t>
      </w:r>
      <w:proofErr w:type="spellEnd"/>
      <w:r>
        <w:rPr>
          <w:b/>
          <w:bCs/>
          <w:color w:val="0D7377"/>
          <w:sz w:val="21"/>
          <w:szCs w:val="21"/>
        </w:rPr>
        <w:t xml:space="preserve"> </w:t>
      </w:r>
      <w:proofErr w:type="spellStart"/>
      <w:r>
        <w:rPr>
          <w:b/>
          <w:bCs/>
          <w:color w:val="0D7377"/>
          <w:sz w:val="21"/>
          <w:szCs w:val="21"/>
        </w:rPr>
        <w:t>this</w:t>
      </w:r>
      <w:proofErr w:type="spellEnd"/>
      <w:r>
        <w:rPr>
          <w:b/>
          <w:bCs/>
          <w:color w:val="0D7377"/>
          <w:sz w:val="21"/>
          <w:szCs w:val="21"/>
        </w:rPr>
        <w:t xml:space="preserve"> </w:t>
      </w:r>
      <w:proofErr w:type="spellStart"/>
      <w:r>
        <w:rPr>
          <w:b/>
          <w:bCs/>
          <w:color w:val="0D7377"/>
          <w:sz w:val="21"/>
          <w:szCs w:val="21"/>
        </w:rPr>
        <w:t>section</w:t>
      </w:r>
      <w:proofErr w:type="spellEnd"/>
      <w:r>
        <w:rPr>
          <w:b/>
          <w:bCs/>
          <w:color w:val="0D7377"/>
          <w:sz w:val="21"/>
          <w:szCs w:val="21"/>
        </w:rPr>
        <w:t xml:space="preserve"> is </w:t>
      </w:r>
      <w:proofErr w:type="spellStart"/>
      <w:r>
        <w:rPr>
          <w:b/>
          <w:bCs/>
          <w:color w:val="0D7377"/>
          <w:sz w:val="21"/>
          <w:szCs w:val="21"/>
        </w:rPr>
        <w:t>doing</w:t>
      </w:r>
      <w:proofErr w:type="spellEnd"/>
    </w:p>
    <w:p w:rsidR="00F52D2F" w:rsidRPr="001D311E" w:rsidRDefault="001253C5">
      <w:pPr>
        <w:spacing w:before="50" w:after="50"/>
        <w:rPr>
          <w:lang w:val="en-GB"/>
        </w:rPr>
      </w:pPr>
      <w:r w:rsidRPr="001D311E">
        <w:rPr>
          <w:lang w:val="en-GB"/>
        </w:rPr>
        <w:t>Most openings in teaching establish authority — here is what I know, here is what we will cover. This opening does the opposite. It makes their existing mental models visible before you've taught anything. The exercise reveals the gap between knowing a discipline and understanding what it is actually for — which is the argument of the entire session.</w:t>
      </w:r>
    </w:p>
    <w:p w:rsidR="00F52D2F" w:rsidRPr="001D311E" w:rsidRDefault="00F52D2F">
      <w:pPr>
        <w:spacing w:before="60"/>
        <w:rPr>
          <w:lang w:val="en-GB"/>
        </w:rPr>
      </w:pPr>
    </w:p>
    <w:p w:rsidR="00F52D2F" w:rsidRDefault="001253C5">
      <w:pPr>
        <w:spacing w:before="200" w:after="60"/>
      </w:pPr>
      <w:r>
        <w:rPr>
          <w:b/>
          <w:bCs/>
          <w:color w:val="0D7377"/>
          <w:sz w:val="21"/>
          <w:szCs w:val="21"/>
        </w:rPr>
        <w:t xml:space="preserve">Key </w:t>
      </w:r>
      <w:proofErr w:type="spellStart"/>
      <w:r>
        <w:rPr>
          <w:b/>
          <w:bCs/>
          <w:color w:val="0D7377"/>
          <w:sz w:val="21"/>
          <w:szCs w:val="21"/>
        </w:rPr>
        <w:t>moves</w:t>
      </w:r>
      <w:proofErr w:type="spellEnd"/>
    </w:p>
    <w:p w:rsidR="00F52D2F" w:rsidRPr="001D311E" w:rsidRDefault="001253C5">
      <w:pPr>
        <w:pStyle w:val="Listeafsnit"/>
        <w:numPr>
          <w:ilvl w:val="0"/>
          <w:numId w:val="2"/>
        </w:numPr>
        <w:spacing w:before="36" w:after="36"/>
        <w:rPr>
          <w:lang w:val="en-GB"/>
        </w:rPr>
      </w:pPr>
      <w:r w:rsidRPr="001D311E">
        <w:rPr>
          <w:lang w:val="en-GB"/>
        </w:rPr>
        <w:t>Go straight from slide 1 to the exercise. No preamble, no agenda overview. The absence of a standard opening signals immediately that this session is different.</w:t>
      </w:r>
    </w:p>
    <w:p w:rsidR="00F52D2F" w:rsidRPr="001D311E" w:rsidRDefault="001253C5">
      <w:pPr>
        <w:pStyle w:val="Listeafsnit"/>
        <w:numPr>
          <w:ilvl w:val="0"/>
          <w:numId w:val="2"/>
        </w:numPr>
        <w:spacing w:before="36" w:after="36"/>
        <w:rPr>
          <w:lang w:val="en-GB"/>
        </w:rPr>
      </w:pPr>
      <w:r w:rsidRPr="001D311E">
        <w:rPr>
          <w:lang w:val="en-GB"/>
        </w:rPr>
        <w:t>The instruction matters: not 'define governance' but 'write it in your own words — not ISO, not COSO, not your organisation's policy.' That constraint does the work. It forces genuine thought rather than recall.</w:t>
      </w:r>
    </w:p>
    <w:p w:rsidR="00F52D2F" w:rsidRPr="001D311E" w:rsidRDefault="001253C5">
      <w:pPr>
        <w:pStyle w:val="Listeafsnit"/>
        <w:numPr>
          <w:ilvl w:val="0"/>
          <w:numId w:val="2"/>
        </w:numPr>
        <w:spacing w:before="36" w:after="36"/>
        <w:rPr>
          <w:lang w:val="en-GB"/>
        </w:rPr>
      </w:pPr>
      <w:r w:rsidRPr="001D311E">
        <w:rPr>
          <w:lang w:val="en-GB"/>
        </w:rPr>
        <w:t>Three minutes of silence. The discomfort in that silence is the first learning moment — many practitioners have never been asked to articulate this in their own words before.</w:t>
      </w:r>
    </w:p>
    <w:p w:rsidR="00F52D2F" w:rsidRPr="001D311E" w:rsidRDefault="001253C5">
      <w:pPr>
        <w:pStyle w:val="Listeafsnit"/>
        <w:numPr>
          <w:ilvl w:val="0"/>
          <w:numId w:val="2"/>
        </w:numPr>
        <w:spacing w:before="36" w:after="36"/>
        <w:rPr>
          <w:lang w:val="en-GB"/>
        </w:rPr>
      </w:pPr>
      <w:r w:rsidRPr="001D311E">
        <w:rPr>
          <w:lang w:val="en-GB"/>
        </w:rPr>
        <w:t>The one-word question after the exercise ('tell me one word you used that nobody else used') is lower stakes than reading a definition aloud, but more revealing. The variation in the room — accountability, judgment, rules, culture, trust — is itself the content.</w:t>
      </w:r>
    </w:p>
    <w:p w:rsidR="00F52D2F" w:rsidRPr="001D311E" w:rsidRDefault="001253C5">
      <w:pPr>
        <w:pStyle w:val="Listeafsnit"/>
        <w:numPr>
          <w:ilvl w:val="0"/>
          <w:numId w:val="2"/>
        </w:numPr>
        <w:spacing w:before="36" w:after="36"/>
        <w:rPr>
          <w:lang w:val="en-GB"/>
        </w:rPr>
      </w:pPr>
      <w:r w:rsidRPr="001D311E">
        <w:rPr>
          <w:lang w:val="en-GB"/>
        </w:rPr>
        <w:lastRenderedPageBreak/>
        <w:t>The harder question about where their knowledge came from is the most important moment in the opening. Don't rush past it. Two or three honest answers are enough. The point is not to embarrass anyone but to make the distinction between received knowledge and experiential knowledge real and personal.</w:t>
      </w:r>
    </w:p>
    <w:p w:rsidR="00F52D2F" w:rsidRPr="001D311E" w:rsidRDefault="00F52D2F">
      <w:pPr>
        <w:spacing w:before="60"/>
        <w:rPr>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8160"/>
      </w:tblGrid>
      <w:tr w:rsidR="00F52D2F">
        <w:tc>
          <w:tcPr>
            <w:tcW w:w="1200" w:type="dxa"/>
            <w:tcBorders>
              <w:top w:val="single" w:sz="1" w:space="0" w:color="0D7377"/>
              <w:left w:val="single" w:sz="1" w:space="0" w:color="0D7377"/>
              <w:bottom w:val="single" w:sz="1" w:space="0" w:color="0D7377"/>
              <w:right w:val="single" w:sz="1" w:space="0" w:color="0D7377"/>
            </w:tcBorders>
            <w:shd w:val="clear" w:color="auto" w:fill="0D7377"/>
            <w:tcMar>
              <w:top w:w="100" w:type="dxa"/>
              <w:left w:w="100" w:type="dxa"/>
              <w:bottom w:w="100" w:type="dxa"/>
              <w:right w:w="100" w:type="dxa"/>
            </w:tcMar>
            <w:vAlign w:val="center"/>
          </w:tcPr>
          <w:p w:rsidR="00F52D2F" w:rsidRDefault="001253C5">
            <w:pPr>
              <w:jc w:val="center"/>
            </w:pPr>
            <w:r>
              <w:rPr>
                <w:b/>
                <w:bCs/>
                <w:color w:val="FFFFFF"/>
                <w:sz w:val="17"/>
                <w:szCs w:val="17"/>
              </w:rPr>
              <w:t>QUESTION</w:t>
            </w:r>
          </w:p>
        </w:tc>
        <w:tc>
          <w:tcPr>
            <w:tcW w:w="8160" w:type="dxa"/>
            <w:tcBorders>
              <w:top w:val="single" w:sz="1" w:space="0" w:color="0D7377"/>
              <w:left w:val="single" w:sz="1" w:space="0" w:color="0D7377"/>
              <w:bottom w:val="single" w:sz="1" w:space="0" w:color="0D7377"/>
              <w:right w:val="single" w:sz="1" w:space="0" w:color="0D7377"/>
            </w:tcBorders>
            <w:shd w:val="clear" w:color="auto" w:fill="F8FAFC"/>
            <w:tcMar>
              <w:top w:w="100" w:type="dxa"/>
              <w:left w:w="160" w:type="dxa"/>
              <w:bottom w:w="100" w:type="dxa"/>
              <w:right w:w="120" w:type="dxa"/>
            </w:tcMar>
          </w:tcPr>
          <w:p w:rsidR="00F52D2F" w:rsidRPr="001D311E" w:rsidRDefault="001253C5">
            <w:pPr>
              <w:rPr>
                <w:lang w:val="en-GB"/>
              </w:rPr>
            </w:pPr>
            <w:r w:rsidRPr="001D311E">
              <w:rPr>
                <w:color w:val="1B2A4A"/>
                <w:lang w:val="en-GB"/>
              </w:rPr>
              <w:t>"Tell me one word you used that you think nobody else in this room used."</w:t>
            </w:r>
          </w:p>
          <w:p w:rsidR="00F52D2F" w:rsidRPr="001D311E" w:rsidRDefault="00F52D2F">
            <w:pPr>
              <w:spacing w:before="40"/>
              <w:rPr>
                <w:lang w:val="en-GB"/>
              </w:rPr>
            </w:pPr>
          </w:p>
          <w:p w:rsidR="00F52D2F" w:rsidRPr="001D311E" w:rsidRDefault="001253C5">
            <w:pPr>
              <w:spacing w:before="40"/>
              <w:rPr>
                <w:lang w:val="en-GB"/>
              </w:rPr>
            </w:pPr>
            <w:r w:rsidRPr="001D311E">
              <w:rPr>
                <w:color w:val="1B2A4A"/>
                <w:lang w:val="en-GB"/>
              </w:rPr>
              <w:t>Collect 5–6 words on screen live. Don't organise or react — just type.</w:t>
            </w:r>
          </w:p>
          <w:p w:rsidR="00F52D2F" w:rsidRPr="001D311E" w:rsidRDefault="00F52D2F">
            <w:pPr>
              <w:spacing w:before="40"/>
              <w:rPr>
                <w:lang w:val="en-GB"/>
              </w:rPr>
            </w:pPr>
          </w:p>
          <w:p w:rsidR="00F52D2F" w:rsidRPr="001D311E" w:rsidRDefault="001253C5">
            <w:pPr>
              <w:spacing w:before="40"/>
              <w:rPr>
                <w:lang w:val="en-GB"/>
              </w:rPr>
            </w:pPr>
            <w:r w:rsidRPr="001D311E">
              <w:rPr>
                <w:color w:val="1B2A4A"/>
                <w:lang w:val="en-GB"/>
              </w:rPr>
              <w:t>Then: "How much of what you wrote came from your own experience — and how much from being told?"</w:t>
            </w:r>
          </w:p>
          <w:p w:rsidR="00F52D2F" w:rsidRPr="001D311E" w:rsidRDefault="00F52D2F">
            <w:pPr>
              <w:spacing w:before="40"/>
              <w:rPr>
                <w:lang w:val="en-GB"/>
              </w:rPr>
            </w:pPr>
          </w:p>
          <w:p w:rsidR="00F52D2F" w:rsidRDefault="001253C5">
            <w:pPr>
              <w:spacing w:before="40"/>
            </w:pPr>
            <w:r w:rsidRPr="001D311E">
              <w:rPr>
                <w:color w:val="1B2A4A"/>
                <w:lang w:val="en-GB"/>
              </w:rPr>
              <w:t xml:space="preserve">What you're listening for: honest variation. The compliance officer's words will be different from the auditor's. </w:t>
            </w:r>
            <w:proofErr w:type="spellStart"/>
            <w:r>
              <w:rPr>
                <w:color w:val="1B2A4A"/>
              </w:rPr>
              <w:t>That</w:t>
            </w:r>
            <w:proofErr w:type="spellEnd"/>
            <w:r>
              <w:rPr>
                <w:color w:val="1B2A4A"/>
              </w:rPr>
              <w:t xml:space="preserve"> difference is the </w:t>
            </w:r>
            <w:proofErr w:type="spellStart"/>
            <w:r>
              <w:rPr>
                <w:color w:val="1B2A4A"/>
              </w:rPr>
              <w:t>opening</w:t>
            </w:r>
            <w:proofErr w:type="spellEnd"/>
            <w:r>
              <w:rPr>
                <w:color w:val="1B2A4A"/>
              </w:rPr>
              <w:t xml:space="preserve"> argument.</w:t>
            </w:r>
          </w:p>
        </w:tc>
      </w:tr>
    </w:tbl>
    <w:p w:rsidR="00F52D2F" w:rsidRDefault="00F52D2F">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8160"/>
      </w:tblGrid>
      <w:tr w:rsidR="00F52D2F" w:rsidRPr="001D311E">
        <w:tc>
          <w:tcPr>
            <w:tcW w:w="1200" w:type="dxa"/>
            <w:tcBorders>
              <w:top w:val="single" w:sz="1" w:space="0" w:color="B91C1C"/>
              <w:left w:val="single" w:sz="1" w:space="0" w:color="B91C1C"/>
              <w:bottom w:val="single" w:sz="1" w:space="0" w:color="B91C1C"/>
              <w:right w:val="single" w:sz="1" w:space="0" w:color="B91C1C"/>
            </w:tcBorders>
            <w:shd w:val="clear" w:color="auto" w:fill="B91C1C"/>
            <w:tcMar>
              <w:top w:w="100" w:type="dxa"/>
              <w:left w:w="100" w:type="dxa"/>
              <w:bottom w:w="100" w:type="dxa"/>
              <w:right w:w="100" w:type="dxa"/>
            </w:tcMar>
            <w:vAlign w:val="center"/>
          </w:tcPr>
          <w:p w:rsidR="00F52D2F" w:rsidRDefault="001253C5">
            <w:pPr>
              <w:jc w:val="center"/>
            </w:pPr>
            <w:r>
              <w:rPr>
                <w:b/>
                <w:bCs/>
                <w:color w:val="FFFFFF"/>
                <w:sz w:val="17"/>
                <w:szCs w:val="17"/>
              </w:rPr>
              <w:t>WATCH-OUT</w:t>
            </w:r>
          </w:p>
        </w:tc>
        <w:tc>
          <w:tcPr>
            <w:tcW w:w="8160" w:type="dxa"/>
            <w:tcBorders>
              <w:top w:val="single" w:sz="1" w:space="0" w:color="B91C1C"/>
              <w:left w:val="single" w:sz="1" w:space="0" w:color="B91C1C"/>
              <w:bottom w:val="single" w:sz="1" w:space="0" w:color="B91C1C"/>
              <w:right w:val="single" w:sz="1" w:space="0" w:color="B91C1C"/>
            </w:tcBorders>
            <w:shd w:val="clear" w:color="auto" w:fill="F8FAFC"/>
            <w:tcMar>
              <w:top w:w="100" w:type="dxa"/>
              <w:left w:w="160" w:type="dxa"/>
              <w:bottom w:w="100" w:type="dxa"/>
              <w:right w:w="120" w:type="dxa"/>
            </w:tcMar>
          </w:tcPr>
          <w:p w:rsidR="00F52D2F" w:rsidRPr="0018200C" w:rsidRDefault="001253C5">
            <w:pPr>
              <w:rPr>
                <w:color w:val="1B2A4A"/>
                <w:lang w:val="en-GB"/>
              </w:rPr>
            </w:pPr>
            <w:r w:rsidRPr="001D311E">
              <w:rPr>
                <w:color w:val="1B2A4A"/>
                <w:lang w:val="en-GB"/>
              </w:rPr>
              <w:t xml:space="preserve">The question about where their knowledge came from can feel like criticism of their professional development. Deliver it with genuine curiosity rather than challenge. 'I ask myself this too' takes the edge off. </w:t>
            </w:r>
            <w:r w:rsidRPr="0018200C">
              <w:rPr>
                <w:color w:val="1B2A4A"/>
                <w:lang w:val="en-GB"/>
              </w:rPr>
              <w:t>The goal is reflection, not discomfort.</w:t>
            </w:r>
          </w:p>
          <w:p w:rsidR="001D311E" w:rsidRPr="001D311E" w:rsidRDefault="001D311E" w:rsidP="001D311E">
            <w:pPr>
              <w:rPr>
                <w:lang w:val="en-GB"/>
              </w:rPr>
            </w:pPr>
            <w:r w:rsidRPr="001D311E">
              <w:rPr>
                <w:lang w:val="en-GB"/>
              </w:rPr>
              <w:t xml:space="preserve">'ll go first. The word I keep coming back to is 'trust' — because every time I look at why a </w:t>
            </w:r>
            <w:r>
              <w:rPr>
                <w:lang w:val="en-GB"/>
              </w:rPr>
              <w:t>governance</w:t>
            </w:r>
            <w:r w:rsidRPr="001D311E">
              <w:rPr>
                <w:lang w:val="en-GB"/>
              </w:rPr>
              <w:t xml:space="preserve"> fails, it's because trust broke down somewhere in the chain. What did you write?</w:t>
            </w:r>
            <w:r>
              <w:rPr>
                <w:lang w:val="en-GB"/>
              </w:rPr>
              <w:t>”</w:t>
            </w:r>
          </w:p>
        </w:tc>
      </w:tr>
    </w:tbl>
    <w:p w:rsidR="00F52D2F" w:rsidRPr="001D311E" w:rsidRDefault="00F52D2F">
      <w:pPr>
        <w:spacing w:before="120"/>
        <w:rPr>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60"/>
        <w:gridCol w:w="1800"/>
        <w:gridCol w:w="1800"/>
      </w:tblGrid>
      <w:tr w:rsidR="00F52D2F">
        <w:tc>
          <w:tcPr>
            <w:tcW w:w="5760" w:type="dxa"/>
            <w:tcBorders>
              <w:top w:val="none" w:sz="0" w:space="0" w:color="FFFFFF"/>
              <w:left w:val="none" w:sz="0" w:space="0" w:color="FFFFFF"/>
              <w:bottom w:val="none" w:sz="0" w:space="0" w:color="FFFFFF"/>
              <w:right w:val="none" w:sz="0" w:space="0" w:color="FFFFFF"/>
            </w:tcBorders>
            <w:shd w:val="clear" w:color="auto" w:fill="0D7377"/>
            <w:tcMar>
              <w:top w:w="80" w:type="dxa"/>
              <w:left w:w="160" w:type="dxa"/>
              <w:bottom w:w="80" w:type="dxa"/>
              <w:right w:w="120" w:type="dxa"/>
            </w:tcMar>
          </w:tcPr>
          <w:p w:rsidR="00F52D2F" w:rsidRDefault="001253C5">
            <w:proofErr w:type="spellStart"/>
            <w:r>
              <w:rPr>
                <w:b/>
                <w:bCs/>
                <w:color w:val="FFFFFF"/>
                <w:sz w:val="22"/>
                <w:szCs w:val="22"/>
              </w:rPr>
              <w:t>McNULTY</w:t>
            </w:r>
            <w:proofErr w:type="spellEnd"/>
            <w:r>
              <w:rPr>
                <w:b/>
                <w:bCs/>
                <w:color w:val="FFFFFF"/>
                <w:sz w:val="22"/>
                <w:szCs w:val="22"/>
              </w:rPr>
              <w:t xml:space="preserve"> QUOTE — </w:t>
            </w:r>
            <w:proofErr w:type="spellStart"/>
            <w:r>
              <w:rPr>
                <w:b/>
                <w:bCs/>
                <w:color w:val="FFFFFF"/>
                <w:sz w:val="22"/>
                <w:szCs w:val="22"/>
              </w:rPr>
              <w:t>Reframing</w:t>
            </w:r>
            <w:proofErr w:type="spellEnd"/>
            <w:r>
              <w:rPr>
                <w:b/>
                <w:bCs/>
                <w:color w:val="FFFFFF"/>
                <w:sz w:val="22"/>
                <w:szCs w:val="22"/>
              </w:rPr>
              <w:t xml:space="preserve"> </w:t>
            </w:r>
            <w:proofErr w:type="spellStart"/>
            <w:r>
              <w:rPr>
                <w:b/>
                <w:bCs/>
                <w:color w:val="FFFFFF"/>
                <w:sz w:val="22"/>
                <w:szCs w:val="22"/>
              </w:rPr>
              <w:t>Compliance</w:t>
            </w:r>
            <w:proofErr w:type="spellEnd"/>
          </w:p>
        </w:tc>
        <w:tc>
          <w:tcPr>
            <w:tcW w:w="1800" w:type="dxa"/>
            <w:tcBorders>
              <w:top w:val="none" w:sz="0" w:space="0" w:color="FFFFFF"/>
              <w:left w:val="none" w:sz="0" w:space="0" w:color="FFFFFF"/>
              <w:bottom w:val="none" w:sz="0" w:space="0" w:color="FFFFFF"/>
              <w:right w:val="none" w:sz="0" w:space="0" w:color="FFFFFF"/>
            </w:tcBorders>
            <w:shd w:val="clear" w:color="auto" w:fill="0A5B5E"/>
            <w:tcMar>
              <w:top w:w="80" w:type="dxa"/>
              <w:left w:w="120" w:type="dxa"/>
              <w:bottom w:w="80" w:type="dxa"/>
              <w:right w:w="120" w:type="dxa"/>
            </w:tcMar>
            <w:vAlign w:val="center"/>
          </w:tcPr>
          <w:p w:rsidR="00F52D2F" w:rsidRDefault="001253C5">
            <w:pPr>
              <w:jc w:val="center"/>
            </w:pPr>
            <w:r>
              <w:rPr>
                <w:color w:val="FFFFFF"/>
                <w:sz w:val="18"/>
                <w:szCs w:val="18"/>
              </w:rPr>
              <w:t>0:18 — 0:24</w:t>
            </w:r>
          </w:p>
        </w:tc>
        <w:tc>
          <w:tcPr>
            <w:tcW w:w="1800" w:type="dxa"/>
            <w:tcBorders>
              <w:top w:val="none" w:sz="0" w:space="0" w:color="FFFFFF"/>
              <w:left w:val="none" w:sz="0" w:space="0" w:color="FFFFFF"/>
              <w:bottom w:val="none" w:sz="0" w:space="0" w:color="FFFFFF"/>
              <w:right w:val="none" w:sz="0" w:space="0" w:color="FFFFFF"/>
            </w:tcBorders>
            <w:shd w:val="clear" w:color="auto" w:fill="084F52"/>
            <w:tcMar>
              <w:top w:w="80" w:type="dxa"/>
              <w:left w:w="120" w:type="dxa"/>
              <w:bottom w:w="80" w:type="dxa"/>
              <w:right w:w="120" w:type="dxa"/>
            </w:tcMar>
            <w:vAlign w:val="center"/>
          </w:tcPr>
          <w:p w:rsidR="00F52D2F" w:rsidRDefault="001253C5">
            <w:pPr>
              <w:jc w:val="center"/>
            </w:pPr>
            <w:r>
              <w:rPr>
                <w:color w:val="FFFFFF"/>
                <w:sz w:val="18"/>
                <w:szCs w:val="18"/>
              </w:rPr>
              <w:t>Slide 4</w:t>
            </w:r>
          </w:p>
        </w:tc>
      </w:tr>
    </w:tbl>
    <w:p w:rsidR="00F52D2F" w:rsidRDefault="00F52D2F">
      <w:pPr>
        <w:spacing w:before="80"/>
      </w:pPr>
    </w:p>
    <w:p w:rsidR="00F52D2F" w:rsidRDefault="001253C5">
      <w:pPr>
        <w:spacing w:before="200" w:after="60"/>
      </w:pPr>
      <w:proofErr w:type="spellStart"/>
      <w:r>
        <w:rPr>
          <w:b/>
          <w:bCs/>
          <w:color w:val="0D7377"/>
          <w:sz w:val="21"/>
          <w:szCs w:val="21"/>
        </w:rPr>
        <w:t>What</w:t>
      </w:r>
      <w:proofErr w:type="spellEnd"/>
      <w:r>
        <w:rPr>
          <w:b/>
          <w:bCs/>
          <w:color w:val="0D7377"/>
          <w:sz w:val="21"/>
          <w:szCs w:val="21"/>
        </w:rPr>
        <w:t xml:space="preserve"> </w:t>
      </w:r>
      <w:proofErr w:type="spellStart"/>
      <w:r>
        <w:rPr>
          <w:b/>
          <w:bCs/>
          <w:color w:val="0D7377"/>
          <w:sz w:val="21"/>
          <w:szCs w:val="21"/>
        </w:rPr>
        <w:t>this</w:t>
      </w:r>
      <w:proofErr w:type="spellEnd"/>
      <w:r>
        <w:rPr>
          <w:b/>
          <w:bCs/>
          <w:color w:val="0D7377"/>
          <w:sz w:val="21"/>
          <w:szCs w:val="21"/>
        </w:rPr>
        <w:t xml:space="preserve"> </w:t>
      </w:r>
      <w:proofErr w:type="spellStart"/>
      <w:r>
        <w:rPr>
          <w:b/>
          <w:bCs/>
          <w:color w:val="0D7377"/>
          <w:sz w:val="21"/>
          <w:szCs w:val="21"/>
        </w:rPr>
        <w:t>section</w:t>
      </w:r>
      <w:proofErr w:type="spellEnd"/>
      <w:r>
        <w:rPr>
          <w:b/>
          <w:bCs/>
          <w:color w:val="0D7377"/>
          <w:sz w:val="21"/>
          <w:szCs w:val="21"/>
        </w:rPr>
        <w:t xml:space="preserve"> is </w:t>
      </w:r>
      <w:proofErr w:type="spellStart"/>
      <w:r>
        <w:rPr>
          <w:b/>
          <w:bCs/>
          <w:color w:val="0D7377"/>
          <w:sz w:val="21"/>
          <w:szCs w:val="21"/>
        </w:rPr>
        <w:t>doing</w:t>
      </w:r>
      <w:proofErr w:type="spellEnd"/>
    </w:p>
    <w:p w:rsidR="00F52D2F" w:rsidRPr="001D311E" w:rsidRDefault="001253C5">
      <w:pPr>
        <w:spacing w:before="50" w:after="50"/>
        <w:rPr>
          <w:lang w:val="en-GB"/>
        </w:rPr>
      </w:pPr>
      <w:r w:rsidRPr="001D311E">
        <w:rPr>
          <w:lang w:val="en-GB"/>
        </w:rPr>
        <w:t>The McNulty quote is not a motivation poster. It is a provocation to be complicated. Your job is to acknowledge what is right about it and then identify precisely where it misleads — because the misleading part is the most important diagnostic tool in the session.</w:t>
      </w:r>
    </w:p>
    <w:p w:rsidR="00F52D2F" w:rsidRPr="001D311E" w:rsidRDefault="00F52D2F">
      <w:pPr>
        <w:spacing w:before="60"/>
        <w:rPr>
          <w:lang w:val="en-GB"/>
        </w:rPr>
      </w:pPr>
    </w:p>
    <w:p w:rsidR="00F52D2F" w:rsidRDefault="001253C5">
      <w:pPr>
        <w:spacing w:before="200" w:after="60"/>
      </w:pPr>
      <w:r>
        <w:rPr>
          <w:b/>
          <w:bCs/>
          <w:color w:val="0D7377"/>
          <w:sz w:val="21"/>
          <w:szCs w:val="21"/>
        </w:rPr>
        <w:t xml:space="preserve">Key </w:t>
      </w:r>
      <w:proofErr w:type="spellStart"/>
      <w:r>
        <w:rPr>
          <w:b/>
          <w:bCs/>
          <w:color w:val="0D7377"/>
          <w:sz w:val="21"/>
          <w:szCs w:val="21"/>
        </w:rPr>
        <w:t>moves</w:t>
      </w:r>
      <w:proofErr w:type="spellEnd"/>
    </w:p>
    <w:p w:rsidR="00F52D2F" w:rsidRDefault="001253C5">
      <w:pPr>
        <w:pStyle w:val="Listeafsnit"/>
        <w:numPr>
          <w:ilvl w:val="0"/>
          <w:numId w:val="2"/>
        </w:numPr>
        <w:spacing w:before="36" w:after="36"/>
      </w:pPr>
      <w:r w:rsidRPr="001D311E">
        <w:rPr>
          <w:lang w:val="en-GB"/>
        </w:rPr>
        <w:t xml:space="preserve">Let the quote sit on screen for five seconds. </w:t>
      </w:r>
      <w:proofErr w:type="spellStart"/>
      <w:r>
        <w:t>Don't</w:t>
      </w:r>
      <w:proofErr w:type="spellEnd"/>
      <w:r>
        <w:t xml:space="preserve"> </w:t>
      </w:r>
      <w:proofErr w:type="spellStart"/>
      <w:r>
        <w:t>read</w:t>
      </w:r>
      <w:proofErr w:type="spellEnd"/>
      <w:r>
        <w:t xml:space="preserve"> it </w:t>
      </w:r>
      <w:proofErr w:type="spellStart"/>
      <w:r>
        <w:t>aloud</w:t>
      </w:r>
      <w:proofErr w:type="spellEnd"/>
      <w:r>
        <w:t>.</w:t>
      </w:r>
    </w:p>
    <w:p w:rsidR="00F52D2F" w:rsidRDefault="001253C5">
      <w:pPr>
        <w:pStyle w:val="Listeafsnit"/>
        <w:numPr>
          <w:ilvl w:val="0"/>
          <w:numId w:val="2"/>
        </w:numPr>
        <w:spacing w:before="36" w:after="36"/>
      </w:pPr>
      <w:r w:rsidRPr="001D311E">
        <w:rPr>
          <w:lang w:val="en-GB"/>
        </w:rPr>
        <w:t xml:space="preserve">Acknowledge the truth first: the cost of non-compliance almost always exceeds the cost of the function that was supposed to prevent it. </w:t>
      </w:r>
      <w:r>
        <w:t>As a business case, it holds.</w:t>
      </w:r>
    </w:p>
    <w:p w:rsidR="00F52D2F" w:rsidRPr="001D311E" w:rsidRDefault="001253C5">
      <w:pPr>
        <w:pStyle w:val="Listeafsnit"/>
        <w:numPr>
          <w:ilvl w:val="0"/>
          <w:numId w:val="2"/>
        </w:numPr>
        <w:spacing w:before="36" w:after="36"/>
        <w:rPr>
          <w:lang w:val="en-GB"/>
        </w:rPr>
      </w:pPr>
      <w:r w:rsidRPr="001D311E">
        <w:rPr>
          <w:lang w:val="en-GB"/>
        </w:rPr>
        <w:t>Then the complication: this frames compliance as insurance. Insurance thinking produces a specific behaviour — are we covered? Yes. Good. Move on. That behaviour is L2 on the ladder (which arrives in Session 2). Naming it here without naming the ladder plants a seed.</w:t>
      </w:r>
    </w:p>
    <w:p w:rsidR="00F52D2F" w:rsidRDefault="001253C5">
      <w:pPr>
        <w:pStyle w:val="Listeafsnit"/>
        <w:numPr>
          <w:ilvl w:val="0"/>
          <w:numId w:val="2"/>
        </w:numPr>
        <w:spacing w:before="36" w:after="36"/>
      </w:pPr>
      <w:r w:rsidRPr="001D311E">
        <w:rPr>
          <w:lang w:val="en-GB"/>
        </w:rPr>
        <w:t xml:space="preserve">The reframe: what does compliance look like when it is not insurance? When it is something the organisation actually uses to make better decisions? </w:t>
      </w:r>
      <w:proofErr w:type="spellStart"/>
      <w:r>
        <w:t>That</w:t>
      </w:r>
      <w:proofErr w:type="spellEnd"/>
      <w:r>
        <w:t xml:space="preserve"> </w:t>
      </w:r>
      <w:proofErr w:type="spellStart"/>
      <w:r>
        <w:t>question</w:t>
      </w:r>
      <w:proofErr w:type="spellEnd"/>
      <w:r>
        <w:t xml:space="preserve"> </w:t>
      </w:r>
      <w:proofErr w:type="spellStart"/>
      <w:r>
        <w:t>carries</w:t>
      </w:r>
      <w:proofErr w:type="spellEnd"/>
      <w:r>
        <w:t xml:space="preserve"> the session.</w:t>
      </w:r>
    </w:p>
    <w:p w:rsidR="00F52D2F" w:rsidRDefault="00F52D2F">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8160"/>
      </w:tblGrid>
      <w:tr w:rsidR="00F52D2F" w:rsidRPr="00377C58">
        <w:tc>
          <w:tcPr>
            <w:tcW w:w="1200" w:type="dxa"/>
            <w:tcBorders>
              <w:top w:val="single" w:sz="1" w:space="0" w:color="475569"/>
              <w:left w:val="single" w:sz="1" w:space="0" w:color="475569"/>
              <w:bottom w:val="single" w:sz="1" w:space="0" w:color="475569"/>
              <w:right w:val="single" w:sz="1" w:space="0" w:color="475569"/>
            </w:tcBorders>
            <w:shd w:val="clear" w:color="auto" w:fill="475569"/>
            <w:tcMar>
              <w:top w:w="100" w:type="dxa"/>
              <w:left w:w="100" w:type="dxa"/>
              <w:bottom w:w="100" w:type="dxa"/>
              <w:right w:w="100" w:type="dxa"/>
            </w:tcMar>
            <w:vAlign w:val="center"/>
          </w:tcPr>
          <w:p w:rsidR="00F52D2F" w:rsidRDefault="001253C5">
            <w:pPr>
              <w:jc w:val="center"/>
            </w:pPr>
            <w:r>
              <w:rPr>
                <w:b/>
                <w:bCs/>
                <w:color w:val="FFFFFF"/>
                <w:sz w:val="17"/>
                <w:szCs w:val="17"/>
              </w:rPr>
              <w:t>NOTE</w:t>
            </w:r>
          </w:p>
        </w:tc>
        <w:tc>
          <w:tcPr>
            <w:tcW w:w="8160" w:type="dxa"/>
            <w:tcBorders>
              <w:top w:val="single" w:sz="1" w:space="0" w:color="475569"/>
              <w:left w:val="single" w:sz="1" w:space="0" w:color="475569"/>
              <w:bottom w:val="single" w:sz="1" w:space="0" w:color="475569"/>
              <w:right w:val="single" w:sz="1" w:space="0" w:color="475569"/>
            </w:tcBorders>
            <w:shd w:val="clear" w:color="auto" w:fill="F8FAFC"/>
            <w:tcMar>
              <w:top w:w="100" w:type="dxa"/>
              <w:left w:w="160" w:type="dxa"/>
              <w:bottom w:w="100" w:type="dxa"/>
              <w:right w:w="120" w:type="dxa"/>
            </w:tcMar>
          </w:tcPr>
          <w:p w:rsidR="00F52D2F" w:rsidRPr="001D311E" w:rsidRDefault="001253C5">
            <w:pPr>
              <w:rPr>
                <w:lang w:val="en-GB"/>
              </w:rPr>
            </w:pPr>
            <w:r w:rsidRPr="001D311E">
              <w:rPr>
                <w:color w:val="1B2A4A"/>
                <w:lang w:val="en-GB"/>
              </w:rPr>
              <w:t>The distinction between compliance-as-insurance and compliance-as-decision-support is the conceptual spine of both sessions. You are planting it here before you have the vocabulary to name it. When the ladder arrives in Session 2, this moment will land as recognition.</w:t>
            </w:r>
          </w:p>
        </w:tc>
      </w:tr>
    </w:tbl>
    <w:p w:rsidR="00377C58" w:rsidRDefault="00377C58">
      <w:pPr>
        <w:spacing w:before="120"/>
        <w:rPr>
          <w:lang w:val="en-GB"/>
        </w:rPr>
      </w:pPr>
    </w:p>
    <w:p w:rsidR="00377C58" w:rsidRDefault="00377C58">
      <w:pPr>
        <w:rPr>
          <w:lang w:val="en-GB"/>
        </w:rPr>
      </w:pPr>
      <w:r>
        <w:rPr>
          <w:lang w:val="en-GB"/>
        </w:rPr>
        <w:br w:type="page"/>
      </w:r>
    </w:p>
    <w:p w:rsidR="00F52D2F" w:rsidRPr="001D311E" w:rsidRDefault="00F52D2F">
      <w:pPr>
        <w:spacing w:before="120"/>
        <w:rPr>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60"/>
        <w:gridCol w:w="1800"/>
        <w:gridCol w:w="1800"/>
      </w:tblGrid>
      <w:tr w:rsidR="00F52D2F">
        <w:tc>
          <w:tcPr>
            <w:tcW w:w="5760" w:type="dxa"/>
            <w:tcBorders>
              <w:top w:val="none" w:sz="0" w:space="0" w:color="FFFFFF"/>
              <w:left w:val="none" w:sz="0" w:space="0" w:color="FFFFFF"/>
              <w:bottom w:val="none" w:sz="0" w:space="0" w:color="FFFFFF"/>
              <w:right w:val="none" w:sz="0" w:space="0" w:color="FFFFFF"/>
            </w:tcBorders>
            <w:shd w:val="clear" w:color="auto" w:fill="0D7377"/>
            <w:tcMar>
              <w:top w:w="80" w:type="dxa"/>
              <w:left w:w="160" w:type="dxa"/>
              <w:bottom w:w="80" w:type="dxa"/>
              <w:right w:w="120" w:type="dxa"/>
            </w:tcMar>
          </w:tcPr>
          <w:p w:rsidR="00F52D2F" w:rsidRDefault="001253C5">
            <w:r>
              <w:rPr>
                <w:b/>
                <w:bCs/>
                <w:color w:val="FFFFFF"/>
                <w:sz w:val="22"/>
                <w:szCs w:val="22"/>
              </w:rPr>
              <w:t>MOVEMENT 1 — The Three Domains</w:t>
            </w:r>
          </w:p>
        </w:tc>
        <w:tc>
          <w:tcPr>
            <w:tcW w:w="1800" w:type="dxa"/>
            <w:tcBorders>
              <w:top w:val="none" w:sz="0" w:space="0" w:color="FFFFFF"/>
              <w:left w:val="none" w:sz="0" w:space="0" w:color="FFFFFF"/>
              <w:bottom w:val="none" w:sz="0" w:space="0" w:color="FFFFFF"/>
              <w:right w:val="none" w:sz="0" w:space="0" w:color="FFFFFF"/>
            </w:tcBorders>
            <w:shd w:val="clear" w:color="auto" w:fill="0A5B5E"/>
            <w:tcMar>
              <w:top w:w="80" w:type="dxa"/>
              <w:left w:w="120" w:type="dxa"/>
              <w:bottom w:w="80" w:type="dxa"/>
              <w:right w:w="120" w:type="dxa"/>
            </w:tcMar>
            <w:vAlign w:val="center"/>
          </w:tcPr>
          <w:p w:rsidR="00F52D2F" w:rsidRDefault="001253C5">
            <w:pPr>
              <w:jc w:val="center"/>
            </w:pPr>
            <w:r>
              <w:rPr>
                <w:color w:val="FFFFFF"/>
                <w:sz w:val="18"/>
                <w:szCs w:val="18"/>
              </w:rPr>
              <w:t>0:24 — 0:40</w:t>
            </w:r>
          </w:p>
        </w:tc>
        <w:tc>
          <w:tcPr>
            <w:tcW w:w="1800" w:type="dxa"/>
            <w:tcBorders>
              <w:top w:val="none" w:sz="0" w:space="0" w:color="FFFFFF"/>
              <w:left w:val="none" w:sz="0" w:space="0" w:color="FFFFFF"/>
              <w:bottom w:val="none" w:sz="0" w:space="0" w:color="FFFFFF"/>
              <w:right w:val="none" w:sz="0" w:space="0" w:color="FFFFFF"/>
            </w:tcBorders>
            <w:shd w:val="clear" w:color="auto" w:fill="084F52"/>
            <w:tcMar>
              <w:top w:w="80" w:type="dxa"/>
              <w:left w:w="120" w:type="dxa"/>
              <w:bottom w:w="80" w:type="dxa"/>
              <w:right w:w="120" w:type="dxa"/>
            </w:tcMar>
            <w:vAlign w:val="center"/>
          </w:tcPr>
          <w:p w:rsidR="00F52D2F" w:rsidRDefault="001253C5">
            <w:pPr>
              <w:jc w:val="center"/>
            </w:pPr>
            <w:r>
              <w:rPr>
                <w:color w:val="FFFFFF"/>
                <w:sz w:val="18"/>
                <w:szCs w:val="18"/>
              </w:rPr>
              <w:t>Slide 5</w:t>
            </w:r>
          </w:p>
        </w:tc>
      </w:tr>
    </w:tbl>
    <w:p w:rsidR="00F52D2F" w:rsidRDefault="00F52D2F">
      <w:pPr>
        <w:spacing w:before="80"/>
      </w:pPr>
    </w:p>
    <w:p w:rsidR="00F52D2F" w:rsidRDefault="001253C5">
      <w:pPr>
        <w:spacing w:before="200" w:after="60"/>
      </w:pPr>
      <w:proofErr w:type="spellStart"/>
      <w:r>
        <w:rPr>
          <w:b/>
          <w:bCs/>
          <w:color w:val="0D7377"/>
          <w:sz w:val="21"/>
          <w:szCs w:val="21"/>
        </w:rPr>
        <w:t>What</w:t>
      </w:r>
      <w:proofErr w:type="spellEnd"/>
      <w:r>
        <w:rPr>
          <w:b/>
          <w:bCs/>
          <w:color w:val="0D7377"/>
          <w:sz w:val="21"/>
          <w:szCs w:val="21"/>
        </w:rPr>
        <w:t xml:space="preserve"> </w:t>
      </w:r>
      <w:proofErr w:type="spellStart"/>
      <w:r>
        <w:rPr>
          <w:b/>
          <w:bCs/>
          <w:color w:val="0D7377"/>
          <w:sz w:val="21"/>
          <w:szCs w:val="21"/>
        </w:rPr>
        <w:t>this</w:t>
      </w:r>
      <w:proofErr w:type="spellEnd"/>
      <w:r>
        <w:rPr>
          <w:b/>
          <w:bCs/>
          <w:color w:val="0D7377"/>
          <w:sz w:val="21"/>
          <w:szCs w:val="21"/>
        </w:rPr>
        <w:t xml:space="preserve"> </w:t>
      </w:r>
      <w:proofErr w:type="spellStart"/>
      <w:r>
        <w:rPr>
          <w:b/>
          <w:bCs/>
          <w:color w:val="0D7377"/>
          <w:sz w:val="21"/>
          <w:szCs w:val="21"/>
        </w:rPr>
        <w:t>section</w:t>
      </w:r>
      <w:proofErr w:type="spellEnd"/>
      <w:r>
        <w:rPr>
          <w:b/>
          <w:bCs/>
          <w:color w:val="0D7377"/>
          <w:sz w:val="21"/>
          <w:szCs w:val="21"/>
        </w:rPr>
        <w:t xml:space="preserve"> is </w:t>
      </w:r>
      <w:proofErr w:type="spellStart"/>
      <w:r>
        <w:rPr>
          <w:b/>
          <w:bCs/>
          <w:color w:val="0D7377"/>
          <w:sz w:val="21"/>
          <w:szCs w:val="21"/>
        </w:rPr>
        <w:t>doing</w:t>
      </w:r>
      <w:proofErr w:type="spellEnd"/>
    </w:p>
    <w:p w:rsidR="00F52D2F" w:rsidRPr="001D311E" w:rsidRDefault="001253C5">
      <w:pPr>
        <w:spacing w:before="50" w:after="50"/>
        <w:rPr>
          <w:lang w:val="en-GB"/>
        </w:rPr>
      </w:pPr>
      <w:r w:rsidRPr="001D311E">
        <w:rPr>
          <w:lang w:val="en-GB"/>
        </w:rPr>
        <w:t>Establishing that governance, risk and compliance have genuinely different logics — not just different org chart positions. This distinction is the prerequisite for everything that follows. If students leave Session 1 thinking these are just three names for the same kind of function, Session 2 will make no sense.</w:t>
      </w:r>
    </w:p>
    <w:p w:rsidR="00F52D2F" w:rsidRPr="001D311E" w:rsidRDefault="00F52D2F">
      <w:pPr>
        <w:spacing w:before="60"/>
        <w:rPr>
          <w:lang w:val="en-GB"/>
        </w:rPr>
      </w:pPr>
    </w:p>
    <w:p w:rsidR="00F52D2F" w:rsidRDefault="001253C5">
      <w:pPr>
        <w:spacing w:before="200" w:after="60"/>
      </w:pPr>
      <w:r>
        <w:rPr>
          <w:b/>
          <w:bCs/>
          <w:color w:val="0D7377"/>
          <w:sz w:val="21"/>
          <w:szCs w:val="21"/>
        </w:rPr>
        <w:t xml:space="preserve">Key </w:t>
      </w:r>
      <w:proofErr w:type="spellStart"/>
      <w:r>
        <w:rPr>
          <w:b/>
          <w:bCs/>
          <w:color w:val="0D7377"/>
          <w:sz w:val="21"/>
          <w:szCs w:val="21"/>
        </w:rPr>
        <w:t>moves</w:t>
      </w:r>
      <w:proofErr w:type="spellEnd"/>
    </w:p>
    <w:p w:rsidR="00F52D2F" w:rsidRDefault="001253C5">
      <w:pPr>
        <w:pStyle w:val="Listeafsnit"/>
        <w:numPr>
          <w:ilvl w:val="0"/>
          <w:numId w:val="2"/>
        </w:numPr>
        <w:spacing w:before="36" w:after="36"/>
        <w:rPr>
          <w:lang w:val="en-GB"/>
        </w:rPr>
      </w:pPr>
      <w:r w:rsidRPr="001D311E">
        <w:rPr>
          <w:lang w:val="en-GB"/>
        </w:rPr>
        <w:t>Three words on screen. You talk. No bullets, no definitions to read.</w:t>
      </w:r>
    </w:p>
    <w:p w:rsidR="001424AD" w:rsidRPr="001D311E" w:rsidRDefault="001424AD">
      <w:pPr>
        <w:pStyle w:val="Listeafsnit"/>
        <w:numPr>
          <w:ilvl w:val="0"/>
          <w:numId w:val="2"/>
        </w:numPr>
        <w:spacing w:before="36" w:after="36"/>
        <w:rPr>
          <w:lang w:val="en-GB"/>
        </w:rPr>
      </w:pPr>
      <w:r>
        <w:rPr>
          <w:lang w:val="en-GB"/>
        </w:rPr>
        <w:t>Nets: GRC function – one department but three ways of working; no common objectives until later when we began to corporate.</w:t>
      </w:r>
    </w:p>
    <w:p w:rsidR="00F52D2F" w:rsidRDefault="001253C5">
      <w:pPr>
        <w:pStyle w:val="Listeafsnit"/>
        <w:numPr>
          <w:ilvl w:val="0"/>
          <w:numId w:val="2"/>
        </w:numPr>
        <w:spacing w:before="36" w:after="36"/>
      </w:pPr>
      <w:r w:rsidRPr="001D311E">
        <w:rPr>
          <w:lang w:val="en-GB"/>
        </w:rPr>
        <w:t xml:space="preserve">The three questions are the argument. Governance: who decides and who is accountable? Risk: what could prevent us achieving our objectives? Compliance: what are we required to do and can we demonstrate it? </w:t>
      </w:r>
      <w:proofErr w:type="spellStart"/>
      <w:r>
        <w:t>These</w:t>
      </w:r>
      <w:proofErr w:type="spellEnd"/>
      <w:r>
        <w:t xml:space="preserve"> </w:t>
      </w:r>
      <w:proofErr w:type="spellStart"/>
      <w:r>
        <w:t>are</w:t>
      </w:r>
      <w:proofErr w:type="spellEnd"/>
      <w:r>
        <w:t xml:space="preserve"> not the same </w:t>
      </w:r>
      <w:proofErr w:type="spellStart"/>
      <w:r>
        <w:t>question</w:t>
      </w:r>
      <w:proofErr w:type="spellEnd"/>
      <w:r>
        <w:t xml:space="preserve">. </w:t>
      </w:r>
      <w:proofErr w:type="spellStart"/>
      <w:r>
        <w:t>Say</w:t>
      </w:r>
      <w:proofErr w:type="spellEnd"/>
      <w:r>
        <w:t xml:space="preserve"> </w:t>
      </w:r>
      <w:proofErr w:type="spellStart"/>
      <w:r>
        <w:t>that</w:t>
      </w:r>
      <w:proofErr w:type="spellEnd"/>
      <w:r>
        <w:t xml:space="preserve"> </w:t>
      </w:r>
      <w:proofErr w:type="spellStart"/>
      <w:r>
        <w:t>explicitly</w:t>
      </w:r>
      <w:proofErr w:type="spellEnd"/>
      <w:r>
        <w:t>.</w:t>
      </w:r>
    </w:p>
    <w:p w:rsidR="00F52D2F" w:rsidRPr="001D311E" w:rsidRDefault="001253C5">
      <w:pPr>
        <w:pStyle w:val="Listeafsnit"/>
        <w:numPr>
          <w:ilvl w:val="0"/>
          <w:numId w:val="2"/>
        </w:numPr>
        <w:spacing w:before="36" w:after="36"/>
        <w:rPr>
          <w:lang w:val="en-GB"/>
        </w:rPr>
      </w:pPr>
      <w:r w:rsidRPr="001D311E">
        <w:rPr>
          <w:lang w:val="en-GB"/>
        </w:rPr>
        <w:t>The failure modes sharpen the distinction. Governance fails through accountability diffusion — nobody is really responsible. Risk fails through false precision — the number</w:t>
      </w:r>
      <w:r w:rsidR="00CD4891">
        <w:rPr>
          <w:lang w:val="en-GB"/>
        </w:rPr>
        <w:t>/</w:t>
      </w:r>
      <w:proofErr w:type="spellStart"/>
      <w:r w:rsidR="00CD4891">
        <w:rPr>
          <w:lang w:val="en-GB"/>
        </w:rPr>
        <w:t>Color</w:t>
      </w:r>
      <w:proofErr w:type="spellEnd"/>
      <w:r w:rsidRPr="001D311E">
        <w:rPr>
          <w:lang w:val="en-GB"/>
        </w:rPr>
        <w:t xml:space="preserve"> on the risk </w:t>
      </w:r>
      <w:r w:rsidR="00CD4891">
        <w:rPr>
          <w:lang w:val="en-GB"/>
        </w:rPr>
        <w:t>report</w:t>
      </w:r>
      <w:r w:rsidRPr="001D311E">
        <w:rPr>
          <w:lang w:val="en-GB"/>
        </w:rPr>
        <w:t xml:space="preserve"> creates an illusion of understanding. Compliance fails through the policy illusion — the document exists therefore the behaviour follows. These failure modes will be recognisable to everyone in the room.</w:t>
      </w:r>
    </w:p>
    <w:p w:rsidR="00F52D2F" w:rsidRDefault="001253C5">
      <w:pPr>
        <w:pStyle w:val="Listeafsnit"/>
        <w:numPr>
          <w:ilvl w:val="0"/>
          <w:numId w:val="2"/>
        </w:numPr>
        <w:spacing w:before="36" w:after="36"/>
        <w:rPr>
          <w:lang w:val="en-GB"/>
        </w:rPr>
      </w:pPr>
      <w:r w:rsidRPr="001D311E">
        <w:rPr>
          <w:lang w:val="en-GB"/>
        </w:rPr>
        <w:t>The integration point: most organisations treat GRC integration as a structural problem. Same reporting line, shared committee. That is proximity, not integration. Integration happens when each discipline changes how the others think. That is rare. And it is what Session 2 is about.</w:t>
      </w:r>
    </w:p>
    <w:p w:rsidR="00A71DA2" w:rsidRPr="001D311E" w:rsidRDefault="00A71DA2">
      <w:pPr>
        <w:pStyle w:val="Listeafsnit"/>
        <w:numPr>
          <w:ilvl w:val="0"/>
          <w:numId w:val="2"/>
        </w:numPr>
        <w:spacing w:before="36" w:after="36"/>
        <w:rPr>
          <w:lang w:val="en-GB"/>
        </w:rPr>
      </w:pPr>
      <w:r>
        <w:rPr>
          <w:lang w:val="en-GB"/>
        </w:rPr>
        <w:t xml:space="preserve">Story about </w:t>
      </w:r>
      <w:r w:rsidRPr="00A71DA2">
        <w:rPr>
          <w:lang w:val="en-GB"/>
        </w:rPr>
        <w:t>conference (</w:t>
      </w:r>
      <w:proofErr w:type="spellStart"/>
      <w:r w:rsidRPr="00A71DA2">
        <w:rPr>
          <w:lang w:val="en-GB"/>
        </w:rPr>
        <w:t>sikkerhed</w:t>
      </w:r>
      <w:proofErr w:type="spellEnd"/>
      <w:r w:rsidRPr="00A71DA2">
        <w:rPr>
          <w:lang w:val="en-GB"/>
        </w:rPr>
        <w:t xml:space="preserve"> </w:t>
      </w:r>
      <w:proofErr w:type="spellStart"/>
      <w:proofErr w:type="gramStart"/>
      <w:r w:rsidRPr="00A71DA2">
        <w:rPr>
          <w:lang w:val="en-GB"/>
        </w:rPr>
        <w:t>og</w:t>
      </w:r>
      <w:proofErr w:type="spellEnd"/>
      <w:proofErr w:type="gramEnd"/>
      <w:r w:rsidRPr="00A71DA2">
        <w:rPr>
          <w:lang w:val="en-GB"/>
        </w:rPr>
        <w:t xml:space="preserve"> revision) </w:t>
      </w:r>
      <w:r>
        <w:rPr>
          <w:lang w:val="en-GB"/>
        </w:rPr>
        <w:t>“</w:t>
      </w:r>
      <w:r w:rsidRPr="00A71DA2">
        <w:rPr>
          <w:lang w:val="en-GB"/>
        </w:rPr>
        <w:t>There's a saying at the Danish Military Officers School — if responsibility for something is shared between two people, they have 10% combined ownership. And from two, the number drops sharply. In the military they understand intuitively what most organisations spend years discovering: the moment you make something everyone's responsibility, you've made it nobody's</w:t>
      </w:r>
      <w:r>
        <w:rPr>
          <w:lang w:val="en-GB"/>
        </w:rPr>
        <w:t>”</w:t>
      </w:r>
    </w:p>
    <w:p w:rsidR="00F52D2F" w:rsidRPr="001D311E" w:rsidRDefault="00F52D2F">
      <w:pPr>
        <w:spacing w:before="60"/>
        <w:rPr>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8160"/>
      </w:tblGrid>
      <w:tr w:rsidR="00F52D2F" w:rsidRPr="00377C58">
        <w:tc>
          <w:tcPr>
            <w:tcW w:w="1200" w:type="dxa"/>
            <w:tcBorders>
              <w:top w:val="single" w:sz="1" w:space="0" w:color="0D7377"/>
              <w:left w:val="single" w:sz="1" w:space="0" w:color="0D7377"/>
              <w:bottom w:val="single" w:sz="1" w:space="0" w:color="0D7377"/>
              <w:right w:val="single" w:sz="1" w:space="0" w:color="0D7377"/>
            </w:tcBorders>
            <w:shd w:val="clear" w:color="auto" w:fill="0D7377"/>
            <w:tcMar>
              <w:top w:w="100" w:type="dxa"/>
              <w:left w:w="100" w:type="dxa"/>
              <w:bottom w:w="100" w:type="dxa"/>
              <w:right w:w="100" w:type="dxa"/>
            </w:tcMar>
            <w:vAlign w:val="center"/>
          </w:tcPr>
          <w:p w:rsidR="00F52D2F" w:rsidRDefault="001253C5">
            <w:pPr>
              <w:jc w:val="center"/>
            </w:pPr>
            <w:r>
              <w:rPr>
                <w:b/>
                <w:bCs/>
                <w:color w:val="FFFFFF"/>
                <w:sz w:val="17"/>
                <w:szCs w:val="17"/>
              </w:rPr>
              <w:t>QUESTION</w:t>
            </w:r>
          </w:p>
        </w:tc>
        <w:tc>
          <w:tcPr>
            <w:tcW w:w="8160" w:type="dxa"/>
            <w:tcBorders>
              <w:top w:val="single" w:sz="1" w:space="0" w:color="0D7377"/>
              <w:left w:val="single" w:sz="1" w:space="0" w:color="0D7377"/>
              <w:bottom w:val="single" w:sz="1" w:space="0" w:color="0D7377"/>
              <w:right w:val="single" w:sz="1" w:space="0" w:color="0D7377"/>
            </w:tcBorders>
            <w:shd w:val="clear" w:color="auto" w:fill="F8FAFC"/>
            <w:tcMar>
              <w:top w:w="100" w:type="dxa"/>
              <w:left w:w="160" w:type="dxa"/>
              <w:bottom w:w="100" w:type="dxa"/>
              <w:right w:w="120" w:type="dxa"/>
            </w:tcMar>
          </w:tcPr>
          <w:p w:rsidR="00F52D2F" w:rsidRPr="001D311E" w:rsidRDefault="001253C5">
            <w:pPr>
              <w:rPr>
                <w:lang w:val="en-GB"/>
              </w:rPr>
            </w:pPr>
            <w:r w:rsidRPr="001D311E">
              <w:rPr>
                <w:color w:val="1B2A4A"/>
                <w:lang w:val="en-GB"/>
              </w:rPr>
              <w:t>"In your organisation — which of the three domains has most influence on actual decisions? And which one should?"</w:t>
            </w:r>
          </w:p>
          <w:p w:rsidR="00F52D2F" w:rsidRPr="001D311E" w:rsidRDefault="00F52D2F">
            <w:pPr>
              <w:spacing w:before="40"/>
              <w:rPr>
                <w:lang w:val="en-GB"/>
              </w:rPr>
            </w:pPr>
          </w:p>
          <w:p w:rsidR="00F52D2F" w:rsidRPr="001D311E" w:rsidRDefault="001253C5">
            <w:pPr>
              <w:spacing w:before="40"/>
              <w:rPr>
                <w:lang w:val="en-GB"/>
              </w:rPr>
            </w:pPr>
            <w:r w:rsidRPr="001D311E">
              <w:rPr>
                <w:color w:val="1B2A4A"/>
                <w:lang w:val="en-GB"/>
              </w:rPr>
              <w:t>The gap between those two answers is your material. Let it run for 3–4 minutes.</w:t>
            </w:r>
          </w:p>
          <w:p w:rsidR="00F52D2F" w:rsidRPr="001D311E" w:rsidRDefault="00F52D2F">
            <w:pPr>
              <w:spacing w:before="40"/>
              <w:rPr>
                <w:lang w:val="en-GB"/>
              </w:rPr>
            </w:pPr>
          </w:p>
          <w:p w:rsidR="00F52D2F" w:rsidRPr="001D311E" w:rsidRDefault="001253C5">
            <w:pPr>
              <w:spacing w:before="40"/>
              <w:rPr>
                <w:lang w:val="en-GB"/>
              </w:rPr>
            </w:pPr>
            <w:r w:rsidRPr="001D311E">
              <w:rPr>
                <w:color w:val="1B2A4A"/>
                <w:lang w:val="en-GB"/>
              </w:rPr>
              <w:t>If someone says 'all three equally': push gently. 'In theory yes. But last Tuesday in your organisation — which one actually shaped what was decided?'</w:t>
            </w:r>
          </w:p>
          <w:p w:rsidR="00F52D2F" w:rsidRPr="001D311E" w:rsidRDefault="00F52D2F">
            <w:pPr>
              <w:spacing w:before="40"/>
              <w:rPr>
                <w:lang w:val="en-GB"/>
              </w:rPr>
            </w:pPr>
          </w:p>
          <w:p w:rsidR="00F52D2F" w:rsidRPr="001D311E" w:rsidRDefault="001253C5">
            <w:pPr>
              <w:spacing w:before="40"/>
              <w:rPr>
                <w:lang w:val="en-GB"/>
              </w:rPr>
            </w:pPr>
            <w:r w:rsidRPr="001D311E">
              <w:rPr>
                <w:color w:val="1B2A4A"/>
                <w:lang w:val="en-GB"/>
              </w:rPr>
              <w:t xml:space="preserve">What you're listening for: different answers from compliance </w:t>
            </w:r>
            <w:proofErr w:type="gramStart"/>
            <w:r w:rsidRPr="001D311E">
              <w:rPr>
                <w:color w:val="1B2A4A"/>
                <w:lang w:val="en-GB"/>
              </w:rPr>
              <w:t>officers</w:t>
            </w:r>
            <w:proofErr w:type="gramEnd"/>
            <w:r w:rsidRPr="001D311E">
              <w:rPr>
                <w:color w:val="1B2A4A"/>
                <w:lang w:val="en-GB"/>
              </w:rPr>
              <w:t xml:space="preserve"> vs auditors vs lawyers. That professional variation is itself the argument for why integration is hard.</w:t>
            </w:r>
          </w:p>
        </w:tc>
      </w:tr>
    </w:tbl>
    <w:p w:rsidR="00F52D2F" w:rsidRPr="001D311E" w:rsidRDefault="00F52D2F">
      <w:pPr>
        <w:spacing w:before="60"/>
        <w:rPr>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8160"/>
      </w:tblGrid>
      <w:tr w:rsidR="00F52D2F" w:rsidRPr="00377C58">
        <w:tc>
          <w:tcPr>
            <w:tcW w:w="1200" w:type="dxa"/>
            <w:tcBorders>
              <w:top w:val="single" w:sz="1" w:space="0" w:color="B91C1C"/>
              <w:left w:val="single" w:sz="1" w:space="0" w:color="B91C1C"/>
              <w:bottom w:val="single" w:sz="1" w:space="0" w:color="B91C1C"/>
              <w:right w:val="single" w:sz="1" w:space="0" w:color="B91C1C"/>
            </w:tcBorders>
            <w:shd w:val="clear" w:color="auto" w:fill="B91C1C"/>
            <w:tcMar>
              <w:top w:w="100" w:type="dxa"/>
              <w:left w:w="100" w:type="dxa"/>
              <w:bottom w:w="100" w:type="dxa"/>
              <w:right w:w="100" w:type="dxa"/>
            </w:tcMar>
            <w:vAlign w:val="center"/>
          </w:tcPr>
          <w:p w:rsidR="00F52D2F" w:rsidRDefault="001253C5">
            <w:pPr>
              <w:jc w:val="center"/>
            </w:pPr>
            <w:r>
              <w:rPr>
                <w:b/>
                <w:bCs/>
                <w:color w:val="FFFFFF"/>
                <w:sz w:val="17"/>
                <w:szCs w:val="17"/>
              </w:rPr>
              <w:t>WATCH-OUT</w:t>
            </w:r>
          </w:p>
        </w:tc>
        <w:tc>
          <w:tcPr>
            <w:tcW w:w="8160" w:type="dxa"/>
            <w:tcBorders>
              <w:top w:val="single" w:sz="1" w:space="0" w:color="B91C1C"/>
              <w:left w:val="single" w:sz="1" w:space="0" w:color="B91C1C"/>
              <w:bottom w:val="single" w:sz="1" w:space="0" w:color="B91C1C"/>
              <w:right w:val="single" w:sz="1" w:space="0" w:color="B91C1C"/>
            </w:tcBorders>
            <w:shd w:val="clear" w:color="auto" w:fill="F8FAFC"/>
            <w:tcMar>
              <w:top w:w="100" w:type="dxa"/>
              <w:left w:w="160" w:type="dxa"/>
              <w:bottom w:w="100" w:type="dxa"/>
              <w:right w:w="120" w:type="dxa"/>
            </w:tcMar>
          </w:tcPr>
          <w:p w:rsidR="00F52D2F" w:rsidRPr="001D311E" w:rsidRDefault="001253C5">
            <w:pPr>
              <w:rPr>
                <w:lang w:val="en-GB"/>
              </w:rPr>
            </w:pPr>
            <w:r w:rsidRPr="001D311E">
              <w:rPr>
                <w:color w:val="1B2A4A"/>
                <w:lang w:val="en-GB"/>
              </w:rPr>
              <w:t>The discussion can drift toward 'which function is most important' rather than 'which has most influence on decisions.' Keep it grounded in decisions, not functions. The question is about impact, not status.</w:t>
            </w:r>
          </w:p>
        </w:tc>
      </w:tr>
    </w:tbl>
    <w:p w:rsidR="00CD4891" w:rsidRDefault="00CD4891">
      <w:pPr>
        <w:spacing w:before="120"/>
        <w:rPr>
          <w:lang w:val="en-GB"/>
        </w:rPr>
      </w:pPr>
    </w:p>
    <w:p w:rsidR="00CD4891" w:rsidRDefault="00CD4891">
      <w:pPr>
        <w:rPr>
          <w:lang w:val="en-GB"/>
        </w:rPr>
      </w:pPr>
      <w:r>
        <w:rPr>
          <w:lang w:val="en-GB"/>
        </w:rPr>
        <w:br w:type="page"/>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60"/>
        <w:gridCol w:w="1800"/>
        <w:gridCol w:w="1800"/>
      </w:tblGrid>
      <w:tr w:rsidR="00F52D2F">
        <w:tc>
          <w:tcPr>
            <w:tcW w:w="5760" w:type="dxa"/>
            <w:tcBorders>
              <w:top w:val="none" w:sz="0" w:space="0" w:color="FFFFFF"/>
              <w:left w:val="none" w:sz="0" w:space="0" w:color="FFFFFF"/>
              <w:bottom w:val="none" w:sz="0" w:space="0" w:color="FFFFFF"/>
              <w:right w:val="none" w:sz="0" w:space="0" w:color="FFFFFF"/>
            </w:tcBorders>
            <w:shd w:val="clear" w:color="auto" w:fill="0D7377"/>
            <w:tcMar>
              <w:top w:w="80" w:type="dxa"/>
              <w:left w:w="160" w:type="dxa"/>
              <w:bottom w:w="80" w:type="dxa"/>
              <w:right w:w="120" w:type="dxa"/>
            </w:tcMar>
          </w:tcPr>
          <w:p w:rsidR="00F52D2F" w:rsidRDefault="001253C5">
            <w:r>
              <w:rPr>
                <w:b/>
                <w:bCs/>
                <w:color w:val="FFFFFF"/>
                <w:sz w:val="22"/>
                <w:szCs w:val="22"/>
              </w:rPr>
              <w:lastRenderedPageBreak/>
              <w:t xml:space="preserve">MOVEMENT 2 — </w:t>
            </w:r>
            <w:proofErr w:type="spellStart"/>
            <w:r>
              <w:rPr>
                <w:b/>
                <w:bCs/>
                <w:color w:val="FFFFFF"/>
                <w:sz w:val="22"/>
                <w:szCs w:val="22"/>
              </w:rPr>
              <w:t>Why</w:t>
            </w:r>
            <w:proofErr w:type="spellEnd"/>
            <w:r>
              <w:rPr>
                <w:b/>
                <w:bCs/>
                <w:color w:val="FFFFFF"/>
                <w:sz w:val="22"/>
                <w:szCs w:val="22"/>
              </w:rPr>
              <w:t xml:space="preserve"> Controls </w:t>
            </w:r>
            <w:proofErr w:type="spellStart"/>
            <w:r>
              <w:rPr>
                <w:b/>
                <w:bCs/>
                <w:color w:val="FFFFFF"/>
                <w:sz w:val="22"/>
                <w:szCs w:val="22"/>
              </w:rPr>
              <w:t>Fail</w:t>
            </w:r>
            <w:proofErr w:type="spellEnd"/>
          </w:p>
        </w:tc>
        <w:tc>
          <w:tcPr>
            <w:tcW w:w="1800" w:type="dxa"/>
            <w:tcBorders>
              <w:top w:val="none" w:sz="0" w:space="0" w:color="FFFFFF"/>
              <w:left w:val="none" w:sz="0" w:space="0" w:color="FFFFFF"/>
              <w:bottom w:val="none" w:sz="0" w:space="0" w:color="FFFFFF"/>
              <w:right w:val="none" w:sz="0" w:space="0" w:color="FFFFFF"/>
            </w:tcBorders>
            <w:shd w:val="clear" w:color="auto" w:fill="0A5B5E"/>
            <w:tcMar>
              <w:top w:w="80" w:type="dxa"/>
              <w:left w:w="120" w:type="dxa"/>
              <w:bottom w:w="80" w:type="dxa"/>
              <w:right w:w="120" w:type="dxa"/>
            </w:tcMar>
            <w:vAlign w:val="center"/>
          </w:tcPr>
          <w:p w:rsidR="00F52D2F" w:rsidRDefault="001253C5">
            <w:pPr>
              <w:jc w:val="center"/>
            </w:pPr>
            <w:r>
              <w:rPr>
                <w:color w:val="FFFFFF"/>
                <w:sz w:val="18"/>
                <w:szCs w:val="18"/>
              </w:rPr>
              <w:t>0:40 — 0:58</w:t>
            </w:r>
          </w:p>
        </w:tc>
        <w:tc>
          <w:tcPr>
            <w:tcW w:w="1800" w:type="dxa"/>
            <w:tcBorders>
              <w:top w:val="none" w:sz="0" w:space="0" w:color="FFFFFF"/>
              <w:left w:val="none" w:sz="0" w:space="0" w:color="FFFFFF"/>
              <w:bottom w:val="none" w:sz="0" w:space="0" w:color="FFFFFF"/>
              <w:right w:val="none" w:sz="0" w:space="0" w:color="FFFFFF"/>
            </w:tcBorders>
            <w:shd w:val="clear" w:color="auto" w:fill="084F52"/>
            <w:tcMar>
              <w:top w:w="80" w:type="dxa"/>
              <w:left w:w="120" w:type="dxa"/>
              <w:bottom w:w="80" w:type="dxa"/>
              <w:right w:w="120" w:type="dxa"/>
            </w:tcMar>
            <w:vAlign w:val="center"/>
          </w:tcPr>
          <w:p w:rsidR="00F52D2F" w:rsidRDefault="001253C5">
            <w:pPr>
              <w:jc w:val="center"/>
            </w:pPr>
            <w:r>
              <w:rPr>
                <w:color w:val="FFFFFF"/>
                <w:sz w:val="18"/>
                <w:szCs w:val="18"/>
              </w:rPr>
              <w:t>Slides 6–9</w:t>
            </w:r>
          </w:p>
        </w:tc>
      </w:tr>
    </w:tbl>
    <w:p w:rsidR="00F52D2F" w:rsidRDefault="00F52D2F">
      <w:pPr>
        <w:spacing w:before="80"/>
      </w:pPr>
    </w:p>
    <w:p w:rsidR="00F52D2F" w:rsidRDefault="001253C5">
      <w:pPr>
        <w:spacing w:before="200" w:after="60"/>
      </w:pPr>
      <w:proofErr w:type="spellStart"/>
      <w:r>
        <w:rPr>
          <w:b/>
          <w:bCs/>
          <w:color w:val="0D7377"/>
          <w:sz w:val="21"/>
          <w:szCs w:val="21"/>
        </w:rPr>
        <w:t>What</w:t>
      </w:r>
      <w:proofErr w:type="spellEnd"/>
      <w:r>
        <w:rPr>
          <w:b/>
          <w:bCs/>
          <w:color w:val="0D7377"/>
          <w:sz w:val="21"/>
          <w:szCs w:val="21"/>
        </w:rPr>
        <w:t xml:space="preserve"> </w:t>
      </w:r>
      <w:proofErr w:type="spellStart"/>
      <w:r>
        <w:rPr>
          <w:b/>
          <w:bCs/>
          <w:color w:val="0D7377"/>
          <w:sz w:val="21"/>
          <w:szCs w:val="21"/>
        </w:rPr>
        <w:t>this</w:t>
      </w:r>
      <w:proofErr w:type="spellEnd"/>
      <w:r>
        <w:rPr>
          <w:b/>
          <w:bCs/>
          <w:color w:val="0D7377"/>
          <w:sz w:val="21"/>
          <w:szCs w:val="21"/>
        </w:rPr>
        <w:t xml:space="preserve"> </w:t>
      </w:r>
      <w:proofErr w:type="spellStart"/>
      <w:r>
        <w:rPr>
          <w:b/>
          <w:bCs/>
          <w:color w:val="0D7377"/>
          <w:sz w:val="21"/>
          <w:szCs w:val="21"/>
        </w:rPr>
        <w:t>section</w:t>
      </w:r>
      <w:proofErr w:type="spellEnd"/>
      <w:r>
        <w:rPr>
          <w:b/>
          <w:bCs/>
          <w:color w:val="0D7377"/>
          <w:sz w:val="21"/>
          <w:szCs w:val="21"/>
        </w:rPr>
        <w:t xml:space="preserve"> is </w:t>
      </w:r>
      <w:proofErr w:type="spellStart"/>
      <w:r>
        <w:rPr>
          <w:b/>
          <w:bCs/>
          <w:color w:val="0D7377"/>
          <w:sz w:val="21"/>
          <w:szCs w:val="21"/>
        </w:rPr>
        <w:t>doing</w:t>
      </w:r>
      <w:proofErr w:type="spellEnd"/>
    </w:p>
    <w:p w:rsidR="00F52D2F" w:rsidRPr="001D311E" w:rsidRDefault="001253C5">
      <w:pPr>
        <w:spacing w:before="50" w:after="50"/>
        <w:rPr>
          <w:lang w:val="en-GB"/>
        </w:rPr>
      </w:pPr>
      <w:r w:rsidRPr="001D311E">
        <w:rPr>
          <w:lang w:val="en-GB"/>
        </w:rPr>
        <w:t>Shifting the frame from legal and structural thinking to human and systemic thinking. This is the section that will most challenge legally-trained practitioners — not by dismissing their expertise but by extending it into territory their training did not cover. Four connected ideas build on each other: controls as enablers, the imagined vs real worker, the COVID illustration, and additive bias.</w:t>
      </w:r>
    </w:p>
    <w:p w:rsidR="00F52D2F" w:rsidRPr="001D311E" w:rsidRDefault="00F52D2F">
      <w:pPr>
        <w:spacing w:before="60"/>
        <w:rPr>
          <w:lang w:val="en-GB"/>
        </w:rPr>
      </w:pPr>
    </w:p>
    <w:p w:rsidR="00F52D2F" w:rsidRDefault="001253C5">
      <w:pPr>
        <w:spacing w:before="200" w:after="60"/>
      </w:pPr>
      <w:r>
        <w:rPr>
          <w:b/>
          <w:bCs/>
          <w:color w:val="0D7377"/>
          <w:sz w:val="21"/>
          <w:szCs w:val="21"/>
        </w:rPr>
        <w:t xml:space="preserve">Key </w:t>
      </w:r>
      <w:proofErr w:type="spellStart"/>
      <w:r>
        <w:rPr>
          <w:b/>
          <w:bCs/>
          <w:color w:val="0D7377"/>
          <w:sz w:val="21"/>
          <w:szCs w:val="21"/>
        </w:rPr>
        <w:t>moves</w:t>
      </w:r>
      <w:proofErr w:type="spellEnd"/>
      <w:r>
        <w:rPr>
          <w:b/>
          <w:bCs/>
          <w:color w:val="0D7377"/>
          <w:sz w:val="21"/>
          <w:szCs w:val="21"/>
        </w:rPr>
        <w:t xml:space="preserve"> — </w:t>
      </w:r>
      <w:proofErr w:type="spellStart"/>
      <w:r>
        <w:rPr>
          <w:b/>
          <w:bCs/>
          <w:color w:val="0D7377"/>
          <w:sz w:val="21"/>
          <w:szCs w:val="21"/>
        </w:rPr>
        <w:t>Brakes</w:t>
      </w:r>
      <w:proofErr w:type="spellEnd"/>
      <w:r>
        <w:rPr>
          <w:b/>
          <w:bCs/>
          <w:color w:val="0D7377"/>
          <w:sz w:val="21"/>
          <w:szCs w:val="21"/>
        </w:rPr>
        <w:t xml:space="preserve"> (Slide 6)</w:t>
      </w:r>
    </w:p>
    <w:p w:rsidR="00F52D2F" w:rsidRDefault="001253C5">
      <w:pPr>
        <w:pStyle w:val="Listeafsnit"/>
        <w:numPr>
          <w:ilvl w:val="0"/>
          <w:numId w:val="2"/>
        </w:numPr>
        <w:spacing w:before="36" w:after="36"/>
      </w:pPr>
      <w:r w:rsidRPr="001D311E">
        <w:rPr>
          <w:lang w:val="en-GB"/>
        </w:rPr>
        <w:t xml:space="preserve">The brakes analogy reframes controls as infrastructure for confidence and speed, not as obstacles. A car without brakes cannot go fast safely — so it has to go slowly. </w:t>
      </w:r>
      <w:r>
        <w:t xml:space="preserve">An organisation </w:t>
      </w:r>
      <w:proofErr w:type="spellStart"/>
      <w:r>
        <w:t>without</w:t>
      </w:r>
      <w:proofErr w:type="spellEnd"/>
      <w:r>
        <w:t xml:space="preserve"> </w:t>
      </w:r>
      <w:proofErr w:type="spellStart"/>
      <w:r>
        <w:t>controls</w:t>
      </w:r>
      <w:proofErr w:type="spellEnd"/>
      <w:r>
        <w:t xml:space="preserve"> </w:t>
      </w:r>
      <w:proofErr w:type="spellStart"/>
      <w:r>
        <w:t>cannot</w:t>
      </w:r>
      <w:proofErr w:type="spellEnd"/>
      <w:r>
        <w:t xml:space="preserve"> </w:t>
      </w:r>
      <w:proofErr w:type="spellStart"/>
      <w:r>
        <w:t>move</w:t>
      </w:r>
      <w:proofErr w:type="spellEnd"/>
      <w:r>
        <w:t xml:space="preserve"> fast </w:t>
      </w:r>
      <w:proofErr w:type="spellStart"/>
      <w:r>
        <w:t>without</w:t>
      </w:r>
      <w:proofErr w:type="spellEnd"/>
      <w:r>
        <w:t xml:space="preserve"> </w:t>
      </w:r>
      <w:proofErr w:type="spellStart"/>
      <w:r>
        <w:t>crashing</w:t>
      </w:r>
      <w:proofErr w:type="spellEnd"/>
      <w:r>
        <w:t>.</w:t>
      </w:r>
    </w:p>
    <w:p w:rsidR="00F52D2F" w:rsidRPr="001D311E" w:rsidRDefault="001253C5">
      <w:pPr>
        <w:pStyle w:val="Listeafsnit"/>
        <w:numPr>
          <w:ilvl w:val="0"/>
          <w:numId w:val="2"/>
        </w:numPr>
        <w:spacing w:before="36" w:after="36"/>
        <w:rPr>
          <w:lang w:val="en-GB"/>
        </w:rPr>
      </w:pPr>
      <w:r w:rsidRPr="001D311E">
        <w:rPr>
          <w:lang w:val="en-GB"/>
        </w:rPr>
        <w:t>The problem: most compliance controls are designed to satisfy an auditor, not to enable the business. When controls are experienced as friction rather than enablement, people route around them. Which is exactly what they should do — because the control was designed for the wrong purpose.</w:t>
      </w:r>
    </w:p>
    <w:p w:rsidR="00F52D2F" w:rsidRPr="001D311E" w:rsidRDefault="00F52D2F">
      <w:pPr>
        <w:spacing w:before="60"/>
        <w:rPr>
          <w:lang w:val="en-GB"/>
        </w:rPr>
      </w:pPr>
    </w:p>
    <w:p w:rsidR="00F52D2F" w:rsidRPr="001D311E" w:rsidRDefault="001253C5">
      <w:pPr>
        <w:spacing w:before="200" w:after="60"/>
        <w:rPr>
          <w:lang w:val="en-GB"/>
        </w:rPr>
      </w:pPr>
      <w:r w:rsidRPr="001D311E">
        <w:rPr>
          <w:b/>
          <w:bCs/>
          <w:color w:val="0D7377"/>
          <w:sz w:val="21"/>
          <w:szCs w:val="21"/>
          <w:lang w:val="en-GB"/>
        </w:rPr>
        <w:t xml:space="preserve">Key moves — Work as Imagined vs </w:t>
      </w:r>
      <w:proofErr w:type="gramStart"/>
      <w:r w:rsidRPr="001D311E">
        <w:rPr>
          <w:b/>
          <w:bCs/>
          <w:color w:val="0D7377"/>
          <w:sz w:val="21"/>
          <w:szCs w:val="21"/>
          <w:lang w:val="en-GB"/>
        </w:rPr>
        <w:t>Done</w:t>
      </w:r>
      <w:proofErr w:type="gramEnd"/>
      <w:r w:rsidRPr="001D311E">
        <w:rPr>
          <w:b/>
          <w:bCs/>
          <w:color w:val="0D7377"/>
          <w:sz w:val="21"/>
          <w:szCs w:val="21"/>
          <w:lang w:val="en-GB"/>
        </w:rPr>
        <w:t xml:space="preserve"> (Slide 7)</w:t>
      </w:r>
    </w:p>
    <w:p w:rsidR="00F52D2F" w:rsidRPr="001D311E" w:rsidRDefault="00FD5EC7">
      <w:pPr>
        <w:pStyle w:val="Listeafsnit"/>
        <w:numPr>
          <w:ilvl w:val="0"/>
          <w:numId w:val="2"/>
        </w:numPr>
        <w:spacing w:before="36" w:after="36"/>
        <w:rPr>
          <w:lang w:val="en-GB"/>
        </w:rPr>
      </w:pPr>
      <w:r>
        <w:rPr>
          <w:lang w:val="en-GB"/>
        </w:rPr>
        <w:t xml:space="preserve">Erik </w:t>
      </w:r>
      <w:proofErr w:type="spellStart"/>
      <w:r w:rsidRPr="00FD5EC7">
        <w:rPr>
          <w:lang w:val="en-GB"/>
        </w:rPr>
        <w:t>Hollnagel</w:t>
      </w:r>
      <w:r w:rsidR="001253C5" w:rsidRPr="001D311E">
        <w:rPr>
          <w:lang w:val="en-GB"/>
        </w:rPr>
        <w:t>s</w:t>
      </w:r>
      <w:proofErr w:type="spellEnd"/>
      <w:r w:rsidR="001253C5" w:rsidRPr="001D311E">
        <w:rPr>
          <w:lang w:val="en-GB"/>
        </w:rPr>
        <w:t xml:space="preserve"> framework: the policy describes work as imagined — a rational, sequential, rule-following person with unlimited time, no competing pressures, </w:t>
      </w:r>
      <w:proofErr w:type="gramStart"/>
      <w:r w:rsidR="001253C5" w:rsidRPr="001D311E">
        <w:rPr>
          <w:lang w:val="en-GB"/>
        </w:rPr>
        <w:t>perfect</w:t>
      </w:r>
      <w:proofErr w:type="gramEnd"/>
      <w:r w:rsidR="001253C5" w:rsidRPr="001D311E">
        <w:rPr>
          <w:lang w:val="en-GB"/>
        </w:rPr>
        <w:t xml:space="preserve"> information. Work as done is what actually happens on a busy Tuesday afternoon.</w:t>
      </w:r>
    </w:p>
    <w:p w:rsidR="00F52D2F" w:rsidRPr="001D311E" w:rsidRDefault="001253C5">
      <w:pPr>
        <w:pStyle w:val="Listeafsnit"/>
        <w:numPr>
          <w:ilvl w:val="0"/>
          <w:numId w:val="2"/>
        </w:numPr>
        <w:spacing w:before="36" w:after="36"/>
        <w:rPr>
          <w:lang w:val="en-GB"/>
        </w:rPr>
      </w:pPr>
      <w:r w:rsidRPr="001D311E">
        <w:rPr>
          <w:lang w:val="en-GB"/>
        </w:rPr>
        <w:t>Most compliance failures live in the gap between these two. Not malice, not ignorance — friction. The path of least resistance is the most important concept in control design. You are not designing for the motivated employee. You are designing for a normal human who will take the easier path if the compliant path creates unnecessary friction.</w:t>
      </w:r>
    </w:p>
    <w:p w:rsidR="00F52D2F" w:rsidRPr="001D311E" w:rsidRDefault="00F52D2F">
      <w:pPr>
        <w:spacing w:before="60"/>
        <w:rPr>
          <w:lang w:val="en-GB"/>
        </w:rPr>
      </w:pPr>
    </w:p>
    <w:p w:rsidR="00F52D2F" w:rsidRPr="001D311E" w:rsidRDefault="001253C5">
      <w:pPr>
        <w:spacing w:before="200" w:after="60"/>
        <w:rPr>
          <w:lang w:val="en-GB"/>
        </w:rPr>
      </w:pPr>
      <w:r w:rsidRPr="001D311E">
        <w:rPr>
          <w:b/>
          <w:bCs/>
          <w:color w:val="0D7377"/>
          <w:sz w:val="21"/>
          <w:szCs w:val="21"/>
          <w:lang w:val="en-GB"/>
        </w:rPr>
        <w:t>Key moves — COVID Mask (Slide 8)</w:t>
      </w:r>
    </w:p>
    <w:p w:rsidR="00F52D2F" w:rsidRDefault="001253C5">
      <w:pPr>
        <w:pStyle w:val="Listeafsnit"/>
        <w:numPr>
          <w:ilvl w:val="0"/>
          <w:numId w:val="2"/>
        </w:numPr>
        <w:spacing w:before="36" w:after="36"/>
      </w:pPr>
      <w:r w:rsidRPr="001D311E">
        <w:rPr>
          <w:lang w:val="en-GB"/>
        </w:rPr>
        <w:t xml:space="preserve">No text on screen. Tell the story. The rule existed. Most people wanted to follow it. And yet — wearing it under the nose, around the chin, pulled down to speak. </w:t>
      </w:r>
      <w:r>
        <w:t xml:space="preserve">The </w:t>
      </w:r>
      <w:proofErr w:type="spellStart"/>
      <w:r>
        <w:t>rule</w:t>
      </w:r>
      <w:proofErr w:type="spellEnd"/>
      <w:r>
        <w:t xml:space="preserve"> </w:t>
      </w:r>
      <w:proofErr w:type="spellStart"/>
      <w:r>
        <w:t>was</w:t>
      </w:r>
      <w:proofErr w:type="spellEnd"/>
      <w:r>
        <w:t xml:space="preserve"> </w:t>
      </w:r>
      <w:proofErr w:type="spellStart"/>
      <w:r>
        <w:t>necessary</w:t>
      </w:r>
      <w:proofErr w:type="spellEnd"/>
      <w:r>
        <w:t xml:space="preserve"> but </w:t>
      </w:r>
      <w:proofErr w:type="spellStart"/>
      <w:r>
        <w:t>nowhere</w:t>
      </w:r>
      <w:proofErr w:type="spellEnd"/>
      <w:r>
        <w:t xml:space="preserve"> </w:t>
      </w:r>
      <w:proofErr w:type="spellStart"/>
      <w:r>
        <w:t>near</w:t>
      </w:r>
      <w:proofErr w:type="spellEnd"/>
      <w:r>
        <w:t xml:space="preserve"> sufficient.</w:t>
      </w:r>
    </w:p>
    <w:p w:rsidR="00F52D2F" w:rsidRDefault="001253C5">
      <w:pPr>
        <w:pStyle w:val="Listeafsnit"/>
        <w:numPr>
          <w:ilvl w:val="0"/>
          <w:numId w:val="2"/>
        </w:numPr>
        <w:spacing w:before="36" w:after="36"/>
      </w:pPr>
      <w:r w:rsidRPr="001D311E">
        <w:rPr>
          <w:lang w:val="en-GB"/>
        </w:rPr>
        <w:t xml:space="preserve">To follow it over time you needed to: know how to wear it correctly, have one available, </w:t>
      </w:r>
      <w:proofErr w:type="gramStart"/>
      <w:r w:rsidRPr="001D311E">
        <w:rPr>
          <w:lang w:val="en-GB"/>
        </w:rPr>
        <w:t>be</w:t>
      </w:r>
      <w:proofErr w:type="gramEnd"/>
      <w:r w:rsidRPr="001D311E">
        <w:rPr>
          <w:lang w:val="en-GB"/>
        </w:rPr>
        <w:t xml:space="preserve"> in an environment where wearing it felt normal, stay motivated when nobody was watching. </w:t>
      </w:r>
      <w:proofErr w:type="spellStart"/>
      <w:r>
        <w:t>Every</w:t>
      </w:r>
      <w:proofErr w:type="spellEnd"/>
      <w:r>
        <w:t xml:space="preserve"> </w:t>
      </w:r>
      <w:proofErr w:type="spellStart"/>
      <w:r>
        <w:t>compliance</w:t>
      </w:r>
      <w:proofErr w:type="spellEnd"/>
      <w:r>
        <w:t xml:space="preserve"> </w:t>
      </w:r>
      <w:proofErr w:type="spellStart"/>
      <w:r>
        <w:t>control</w:t>
      </w:r>
      <w:proofErr w:type="spellEnd"/>
      <w:r>
        <w:t xml:space="preserve"> has </w:t>
      </w:r>
      <w:proofErr w:type="spellStart"/>
      <w:r>
        <w:t>exactly</w:t>
      </w:r>
      <w:proofErr w:type="spellEnd"/>
      <w:r>
        <w:t xml:space="preserve"> </w:t>
      </w:r>
      <w:proofErr w:type="spellStart"/>
      <w:r>
        <w:t>this</w:t>
      </w:r>
      <w:proofErr w:type="spellEnd"/>
      <w:r>
        <w:t xml:space="preserve"> </w:t>
      </w:r>
      <w:proofErr w:type="spellStart"/>
      <w:r>
        <w:t>structure</w:t>
      </w:r>
      <w:proofErr w:type="spellEnd"/>
      <w:r>
        <w:t>.</w:t>
      </w:r>
    </w:p>
    <w:p w:rsidR="00F52D2F" w:rsidRDefault="00F52D2F">
      <w:pPr>
        <w:spacing w:before="60"/>
      </w:pPr>
    </w:p>
    <w:p w:rsidR="00F52D2F" w:rsidRPr="001D311E" w:rsidRDefault="001253C5">
      <w:pPr>
        <w:spacing w:before="200" w:after="60"/>
        <w:rPr>
          <w:lang w:val="en-GB"/>
        </w:rPr>
      </w:pPr>
      <w:r w:rsidRPr="001D311E">
        <w:rPr>
          <w:b/>
          <w:bCs/>
          <w:color w:val="0D7377"/>
          <w:sz w:val="21"/>
          <w:szCs w:val="21"/>
          <w:lang w:val="en-GB"/>
        </w:rPr>
        <w:t>Key moves — Additive Bias (Slide 9)</w:t>
      </w:r>
    </w:p>
    <w:p w:rsidR="00F52D2F" w:rsidRPr="001D311E" w:rsidRDefault="001253C5">
      <w:pPr>
        <w:pStyle w:val="Listeafsnit"/>
        <w:numPr>
          <w:ilvl w:val="0"/>
          <w:numId w:val="2"/>
        </w:numPr>
        <w:spacing w:before="36" w:after="36"/>
        <w:rPr>
          <w:lang w:val="en-GB"/>
        </w:rPr>
      </w:pPr>
      <w:r w:rsidRPr="001D311E">
        <w:rPr>
          <w:lang w:val="en-GB"/>
        </w:rPr>
        <w:t xml:space="preserve">The organisational </w:t>
      </w:r>
      <w:r w:rsidR="001D0B92">
        <w:rPr>
          <w:lang w:val="en-GB"/>
        </w:rPr>
        <w:t>complement to the individual Hun</w:t>
      </w:r>
      <w:r w:rsidRPr="001D311E">
        <w:rPr>
          <w:lang w:val="en-GB"/>
        </w:rPr>
        <w:t>t argument. Individuals take the path of least resistance. Organisations respond to compliance problems by adding rather than redesigning. New control, new policy, new register. The pile grows. The complexity increases. The real worker is even less likely to navigate it.</w:t>
      </w:r>
    </w:p>
    <w:p w:rsidR="00F52D2F" w:rsidRPr="001D311E" w:rsidRDefault="001253C5">
      <w:pPr>
        <w:pStyle w:val="Listeafsnit"/>
        <w:numPr>
          <w:ilvl w:val="0"/>
          <w:numId w:val="2"/>
        </w:numPr>
        <w:spacing w:before="36" w:after="36"/>
        <w:rPr>
          <w:lang w:val="en-GB"/>
        </w:rPr>
      </w:pPr>
      <w:r w:rsidRPr="001D311E">
        <w:rPr>
          <w:lang w:val="en-GB"/>
        </w:rPr>
        <w:t>Plant the seed briefly — three examples, one question. Don't over-develop this here. It returns fully in Session 2 where you show what additive bias looks like at the framework level.</w:t>
      </w:r>
    </w:p>
    <w:p w:rsidR="00F52D2F" w:rsidRPr="001D311E" w:rsidRDefault="00F52D2F">
      <w:pPr>
        <w:spacing w:before="60"/>
        <w:rPr>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8160"/>
      </w:tblGrid>
      <w:tr w:rsidR="00F52D2F" w:rsidRPr="00377C58">
        <w:tc>
          <w:tcPr>
            <w:tcW w:w="1200" w:type="dxa"/>
            <w:tcBorders>
              <w:top w:val="single" w:sz="1" w:space="0" w:color="0D7377"/>
              <w:left w:val="single" w:sz="1" w:space="0" w:color="0D7377"/>
              <w:bottom w:val="single" w:sz="1" w:space="0" w:color="0D7377"/>
              <w:right w:val="single" w:sz="1" w:space="0" w:color="0D7377"/>
            </w:tcBorders>
            <w:shd w:val="clear" w:color="auto" w:fill="0D7377"/>
            <w:tcMar>
              <w:top w:w="100" w:type="dxa"/>
              <w:left w:w="100" w:type="dxa"/>
              <w:bottom w:w="100" w:type="dxa"/>
              <w:right w:w="100" w:type="dxa"/>
            </w:tcMar>
            <w:vAlign w:val="center"/>
          </w:tcPr>
          <w:p w:rsidR="00F52D2F" w:rsidRDefault="001253C5">
            <w:pPr>
              <w:jc w:val="center"/>
            </w:pPr>
            <w:r>
              <w:rPr>
                <w:b/>
                <w:bCs/>
                <w:color w:val="FFFFFF"/>
                <w:sz w:val="17"/>
                <w:szCs w:val="17"/>
              </w:rPr>
              <w:t>QUESTION</w:t>
            </w:r>
          </w:p>
        </w:tc>
        <w:tc>
          <w:tcPr>
            <w:tcW w:w="8160" w:type="dxa"/>
            <w:tcBorders>
              <w:top w:val="single" w:sz="1" w:space="0" w:color="0D7377"/>
              <w:left w:val="single" w:sz="1" w:space="0" w:color="0D7377"/>
              <w:bottom w:val="single" w:sz="1" w:space="0" w:color="0D7377"/>
              <w:right w:val="single" w:sz="1" w:space="0" w:color="0D7377"/>
            </w:tcBorders>
            <w:shd w:val="clear" w:color="auto" w:fill="F8FAFC"/>
            <w:tcMar>
              <w:top w:w="100" w:type="dxa"/>
              <w:left w:w="160" w:type="dxa"/>
              <w:bottom w:w="100" w:type="dxa"/>
              <w:right w:w="120" w:type="dxa"/>
            </w:tcMar>
          </w:tcPr>
          <w:p w:rsidR="00F52D2F" w:rsidRPr="001D311E" w:rsidRDefault="001253C5">
            <w:pPr>
              <w:rPr>
                <w:lang w:val="en-GB"/>
              </w:rPr>
            </w:pPr>
            <w:r w:rsidRPr="001D311E">
              <w:rPr>
                <w:color w:val="1B2A4A"/>
                <w:lang w:val="en-GB"/>
              </w:rPr>
              <w:t>"Think of a control in your organisation that you know isn't working — not because it was badly designed, but because it was designed for someone who doesn't exist. What would it take to redesign it for the person who actually has to follow it?"</w:t>
            </w:r>
          </w:p>
          <w:p w:rsidR="00F52D2F" w:rsidRPr="001D311E" w:rsidRDefault="00F52D2F">
            <w:pPr>
              <w:spacing w:before="40"/>
              <w:rPr>
                <w:lang w:val="en-GB"/>
              </w:rPr>
            </w:pPr>
          </w:p>
          <w:p w:rsidR="00F52D2F" w:rsidRPr="001D311E" w:rsidRDefault="001253C5">
            <w:pPr>
              <w:spacing w:before="40"/>
              <w:rPr>
                <w:lang w:val="en-GB"/>
              </w:rPr>
            </w:pPr>
            <w:r w:rsidRPr="001D311E">
              <w:rPr>
                <w:color w:val="1B2A4A"/>
                <w:lang w:val="en-GB"/>
              </w:rPr>
              <w:t>This is the most practically useful question in Session 1. It reframes compliance failure from a culture problem (hard to fix) to a design problem (solvable).</w:t>
            </w:r>
          </w:p>
          <w:p w:rsidR="00F52D2F" w:rsidRPr="001D311E" w:rsidRDefault="00F52D2F">
            <w:pPr>
              <w:spacing w:before="40"/>
              <w:rPr>
                <w:lang w:val="en-GB"/>
              </w:rPr>
            </w:pPr>
          </w:p>
          <w:p w:rsidR="00F52D2F" w:rsidRPr="001D311E" w:rsidRDefault="001253C5">
            <w:pPr>
              <w:spacing w:before="40"/>
              <w:rPr>
                <w:lang w:val="en-GB"/>
              </w:rPr>
            </w:pPr>
            <w:r w:rsidRPr="001D311E">
              <w:rPr>
                <w:color w:val="1B2A4A"/>
                <w:lang w:val="en-GB"/>
              </w:rPr>
              <w:t>Additive bias close: "When did you last solve a compliance problem by removing something?" Don't answer it. Let it sit. Say you'll return to it.</w:t>
            </w:r>
          </w:p>
        </w:tc>
      </w:tr>
    </w:tbl>
    <w:p w:rsidR="00F52D2F" w:rsidRPr="001D311E" w:rsidRDefault="00F52D2F">
      <w:pPr>
        <w:spacing w:before="60"/>
        <w:rPr>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8160"/>
      </w:tblGrid>
      <w:tr w:rsidR="00F52D2F" w:rsidRPr="00377C58">
        <w:tc>
          <w:tcPr>
            <w:tcW w:w="1200" w:type="dxa"/>
            <w:tcBorders>
              <w:top w:val="single" w:sz="1" w:space="0" w:color="B91C1C"/>
              <w:left w:val="single" w:sz="1" w:space="0" w:color="B91C1C"/>
              <w:bottom w:val="single" w:sz="1" w:space="0" w:color="B91C1C"/>
              <w:right w:val="single" w:sz="1" w:space="0" w:color="B91C1C"/>
            </w:tcBorders>
            <w:shd w:val="clear" w:color="auto" w:fill="B91C1C"/>
            <w:tcMar>
              <w:top w:w="100" w:type="dxa"/>
              <w:left w:w="100" w:type="dxa"/>
              <w:bottom w:w="100" w:type="dxa"/>
              <w:right w:w="100" w:type="dxa"/>
            </w:tcMar>
            <w:vAlign w:val="center"/>
          </w:tcPr>
          <w:p w:rsidR="00F52D2F" w:rsidRDefault="001253C5">
            <w:pPr>
              <w:jc w:val="center"/>
            </w:pPr>
            <w:r>
              <w:rPr>
                <w:b/>
                <w:bCs/>
                <w:color w:val="FFFFFF"/>
                <w:sz w:val="17"/>
                <w:szCs w:val="17"/>
              </w:rPr>
              <w:lastRenderedPageBreak/>
              <w:t>WATCH-OUT</w:t>
            </w:r>
          </w:p>
        </w:tc>
        <w:tc>
          <w:tcPr>
            <w:tcW w:w="8160" w:type="dxa"/>
            <w:tcBorders>
              <w:top w:val="single" w:sz="1" w:space="0" w:color="B91C1C"/>
              <w:left w:val="single" w:sz="1" w:space="0" w:color="B91C1C"/>
              <w:bottom w:val="single" w:sz="1" w:space="0" w:color="B91C1C"/>
              <w:right w:val="single" w:sz="1" w:space="0" w:color="B91C1C"/>
            </w:tcBorders>
            <w:shd w:val="clear" w:color="auto" w:fill="F8FAFC"/>
            <w:tcMar>
              <w:top w:w="100" w:type="dxa"/>
              <w:left w:w="160" w:type="dxa"/>
              <w:bottom w:w="100" w:type="dxa"/>
              <w:right w:w="120" w:type="dxa"/>
            </w:tcMar>
          </w:tcPr>
          <w:p w:rsidR="00F52D2F" w:rsidRPr="001D311E" w:rsidRDefault="001253C5">
            <w:pPr>
              <w:rPr>
                <w:lang w:val="en-GB"/>
              </w:rPr>
            </w:pPr>
            <w:r w:rsidRPr="001D311E">
              <w:rPr>
                <w:color w:val="1B2A4A"/>
                <w:lang w:val="en-GB"/>
              </w:rPr>
              <w:t xml:space="preserve">The COVID mask story can trigger a debate about mask policy or public health. Stay on the compliance design point: the rule was necessary but insufficient. One sentence to redirect: 'I'm not making a point about masks — I'm making a point about every compliance control with the same structure.' </w:t>
            </w:r>
          </w:p>
        </w:tc>
      </w:tr>
    </w:tbl>
    <w:p w:rsidR="00327FF7" w:rsidRDefault="00327FF7">
      <w:pPr>
        <w:spacing w:before="120"/>
        <w:rPr>
          <w:lang w:val="en-GB"/>
        </w:rPr>
      </w:pPr>
    </w:p>
    <w:p w:rsidR="00327FF7" w:rsidRDefault="00327FF7">
      <w:pPr>
        <w:rPr>
          <w:lang w:val="en-GB"/>
        </w:rPr>
      </w:pPr>
      <w:r>
        <w:rPr>
          <w:lang w:val="en-GB"/>
        </w:rPr>
        <w:br w:type="page"/>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60"/>
        <w:gridCol w:w="1800"/>
        <w:gridCol w:w="1800"/>
      </w:tblGrid>
      <w:tr w:rsidR="00F52D2F">
        <w:tc>
          <w:tcPr>
            <w:tcW w:w="5760" w:type="dxa"/>
            <w:tcBorders>
              <w:top w:val="none" w:sz="0" w:space="0" w:color="FFFFFF"/>
              <w:left w:val="none" w:sz="0" w:space="0" w:color="FFFFFF"/>
              <w:bottom w:val="none" w:sz="0" w:space="0" w:color="FFFFFF"/>
              <w:right w:val="none" w:sz="0" w:space="0" w:color="FFFFFF"/>
            </w:tcBorders>
            <w:shd w:val="clear" w:color="auto" w:fill="0D7377"/>
            <w:tcMar>
              <w:top w:w="80" w:type="dxa"/>
              <w:left w:w="160" w:type="dxa"/>
              <w:bottom w:w="80" w:type="dxa"/>
              <w:right w:w="120" w:type="dxa"/>
            </w:tcMar>
          </w:tcPr>
          <w:p w:rsidR="00F52D2F" w:rsidRDefault="001253C5">
            <w:r>
              <w:rPr>
                <w:b/>
                <w:bCs/>
                <w:color w:val="FFFFFF"/>
                <w:sz w:val="22"/>
                <w:szCs w:val="22"/>
              </w:rPr>
              <w:lastRenderedPageBreak/>
              <w:t>MOVEMENT 3 — Three Lines &amp; Integration</w:t>
            </w:r>
          </w:p>
        </w:tc>
        <w:tc>
          <w:tcPr>
            <w:tcW w:w="1800" w:type="dxa"/>
            <w:tcBorders>
              <w:top w:val="none" w:sz="0" w:space="0" w:color="FFFFFF"/>
              <w:left w:val="none" w:sz="0" w:space="0" w:color="FFFFFF"/>
              <w:bottom w:val="none" w:sz="0" w:space="0" w:color="FFFFFF"/>
              <w:right w:val="none" w:sz="0" w:space="0" w:color="FFFFFF"/>
            </w:tcBorders>
            <w:shd w:val="clear" w:color="auto" w:fill="0A5B5E"/>
            <w:tcMar>
              <w:top w:w="80" w:type="dxa"/>
              <w:left w:w="120" w:type="dxa"/>
              <w:bottom w:w="80" w:type="dxa"/>
              <w:right w:w="120" w:type="dxa"/>
            </w:tcMar>
            <w:vAlign w:val="center"/>
          </w:tcPr>
          <w:p w:rsidR="00F52D2F" w:rsidRDefault="001253C5">
            <w:pPr>
              <w:jc w:val="center"/>
            </w:pPr>
            <w:r>
              <w:rPr>
                <w:color w:val="FFFFFF"/>
                <w:sz w:val="18"/>
                <w:szCs w:val="18"/>
              </w:rPr>
              <w:t>0:58 — 1:14</w:t>
            </w:r>
          </w:p>
        </w:tc>
        <w:tc>
          <w:tcPr>
            <w:tcW w:w="1800" w:type="dxa"/>
            <w:tcBorders>
              <w:top w:val="none" w:sz="0" w:space="0" w:color="FFFFFF"/>
              <w:left w:val="none" w:sz="0" w:space="0" w:color="FFFFFF"/>
              <w:bottom w:val="none" w:sz="0" w:space="0" w:color="FFFFFF"/>
              <w:right w:val="none" w:sz="0" w:space="0" w:color="FFFFFF"/>
            </w:tcBorders>
            <w:shd w:val="clear" w:color="auto" w:fill="084F52"/>
            <w:tcMar>
              <w:top w:w="80" w:type="dxa"/>
              <w:left w:w="120" w:type="dxa"/>
              <w:bottom w:w="80" w:type="dxa"/>
              <w:right w:w="120" w:type="dxa"/>
            </w:tcMar>
            <w:vAlign w:val="center"/>
          </w:tcPr>
          <w:p w:rsidR="00F52D2F" w:rsidRDefault="001253C5">
            <w:pPr>
              <w:jc w:val="center"/>
            </w:pPr>
            <w:r>
              <w:rPr>
                <w:color w:val="FFFFFF"/>
                <w:sz w:val="18"/>
                <w:szCs w:val="18"/>
              </w:rPr>
              <w:t>Slides 10–11</w:t>
            </w:r>
          </w:p>
        </w:tc>
      </w:tr>
    </w:tbl>
    <w:p w:rsidR="00F52D2F" w:rsidRDefault="00F52D2F">
      <w:pPr>
        <w:spacing w:before="80"/>
      </w:pPr>
    </w:p>
    <w:p w:rsidR="00F52D2F" w:rsidRDefault="001253C5">
      <w:pPr>
        <w:spacing w:before="200" w:after="60"/>
      </w:pPr>
      <w:proofErr w:type="spellStart"/>
      <w:r>
        <w:rPr>
          <w:b/>
          <w:bCs/>
          <w:color w:val="0D7377"/>
          <w:sz w:val="21"/>
          <w:szCs w:val="21"/>
        </w:rPr>
        <w:t>What</w:t>
      </w:r>
      <w:proofErr w:type="spellEnd"/>
      <w:r>
        <w:rPr>
          <w:b/>
          <w:bCs/>
          <w:color w:val="0D7377"/>
          <w:sz w:val="21"/>
          <w:szCs w:val="21"/>
        </w:rPr>
        <w:t xml:space="preserve"> </w:t>
      </w:r>
      <w:proofErr w:type="spellStart"/>
      <w:r>
        <w:rPr>
          <w:b/>
          <w:bCs/>
          <w:color w:val="0D7377"/>
          <w:sz w:val="21"/>
          <w:szCs w:val="21"/>
        </w:rPr>
        <w:t>this</w:t>
      </w:r>
      <w:proofErr w:type="spellEnd"/>
      <w:r>
        <w:rPr>
          <w:b/>
          <w:bCs/>
          <w:color w:val="0D7377"/>
          <w:sz w:val="21"/>
          <w:szCs w:val="21"/>
        </w:rPr>
        <w:t xml:space="preserve"> </w:t>
      </w:r>
      <w:proofErr w:type="spellStart"/>
      <w:r>
        <w:rPr>
          <w:b/>
          <w:bCs/>
          <w:color w:val="0D7377"/>
          <w:sz w:val="21"/>
          <w:szCs w:val="21"/>
        </w:rPr>
        <w:t>section</w:t>
      </w:r>
      <w:proofErr w:type="spellEnd"/>
      <w:r>
        <w:rPr>
          <w:b/>
          <w:bCs/>
          <w:color w:val="0D7377"/>
          <w:sz w:val="21"/>
          <w:szCs w:val="21"/>
        </w:rPr>
        <w:t xml:space="preserve"> is </w:t>
      </w:r>
      <w:proofErr w:type="spellStart"/>
      <w:r>
        <w:rPr>
          <w:b/>
          <w:bCs/>
          <w:color w:val="0D7377"/>
          <w:sz w:val="21"/>
          <w:szCs w:val="21"/>
        </w:rPr>
        <w:t>doing</w:t>
      </w:r>
      <w:proofErr w:type="spellEnd"/>
    </w:p>
    <w:p w:rsidR="00F52D2F" w:rsidRPr="001D311E" w:rsidRDefault="001253C5">
      <w:pPr>
        <w:spacing w:before="50" w:after="50"/>
        <w:rPr>
          <w:lang w:val="en-GB"/>
        </w:rPr>
      </w:pPr>
      <w:r w:rsidRPr="001D311E">
        <w:rPr>
          <w:lang w:val="en-GB"/>
        </w:rPr>
        <w:t xml:space="preserve">Establishing the Three Lines as a structure — what it is, what it assumes — without going deep. The critique of whether it works belongs in Session 2. Here you are setting up the question, not answering it. </w:t>
      </w:r>
      <w:proofErr w:type="spellStart"/>
      <w:r w:rsidRPr="001D311E">
        <w:rPr>
          <w:lang w:val="en-GB"/>
        </w:rPr>
        <w:t>Infosec</w:t>
      </w:r>
      <w:proofErr w:type="spellEnd"/>
      <w:r w:rsidRPr="001D311E">
        <w:rPr>
          <w:lang w:val="en-GB"/>
        </w:rPr>
        <w:t xml:space="preserve"> and privacy are used as the most concrete available illustration of what integration failure looks like in practice.</w:t>
      </w:r>
    </w:p>
    <w:p w:rsidR="00F52D2F" w:rsidRPr="001D311E" w:rsidRDefault="00F52D2F">
      <w:pPr>
        <w:spacing w:before="60"/>
        <w:rPr>
          <w:lang w:val="en-GB"/>
        </w:rPr>
      </w:pPr>
    </w:p>
    <w:p w:rsidR="00F52D2F" w:rsidRPr="001D311E" w:rsidRDefault="001253C5">
      <w:pPr>
        <w:spacing w:before="200" w:after="60"/>
        <w:rPr>
          <w:lang w:val="en-GB"/>
        </w:rPr>
      </w:pPr>
      <w:r w:rsidRPr="001D311E">
        <w:rPr>
          <w:b/>
          <w:bCs/>
          <w:color w:val="0D7377"/>
          <w:sz w:val="21"/>
          <w:szCs w:val="21"/>
          <w:lang w:val="en-GB"/>
        </w:rPr>
        <w:t>Key moves — Three Circles (Slide 10)</w:t>
      </w:r>
    </w:p>
    <w:p w:rsidR="00F52D2F" w:rsidRPr="001D311E" w:rsidRDefault="001253C5">
      <w:pPr>
        <w:pStyle w:val="Listeafsnit"/>
        <w:numPr>
          <w:ilvl w:val="0"/>
          <w:numId w:val="2"/>
        </w:numPr>
        <w:spacing w:before="36" w:after="36"/>
        <w:rPr>
          <w:lang w:val="en-GB"/>
        </w:rPr>
      </w:pPr>
      <w:r w:rsidRPr="001D311E">
        <w:rPr>
          <w:lang w:val="en-GB"/>
        </w:rPr>
        <w:t>The gap in the middle of the three circles is where decision-making happens. Governance structures the decision rights. Risk informs the decision. Compliance defines the boundaries. When all three are in separate conversations, decisions get made with only one lens.</w:t>
      </w:r>
    </w:p>
    <w:p w:rsidR="00F52D2F" w:rsidRPr="001D311E" w:rsidRDefault="001253C5">
      <w:pPr>
        <w:pStyle w:val="Listeafsnit"/>
        <w:numPr>
          <w:ilvl w:val="0"/>
          <w:numId w:val="2"/>
        </w:numPr>
        <w:spacing w:before="36" w:after="36"/>
        <w:rPr>
          <w:lang w:val="en-GB"/>
        </w:rPr>
      </w:pPr>
      <w:r w:rsidRPr="001D311E">
        <w:rPr>
          <w:lang w:val="en-GB"/>
        </w:rPr>
        <w:t>Three Lines: brief structure introduction. First line owns risk and runs controls. Second line oversees and challenges. Third line provides independent assurance. The critical assumption — which you name and leave open — is that each line will surface uncomfortable truths upward. That assumption is doing all the work. Session 2 examines whether it holds.</w:t>
      </w:r>
    </w:p>
    <w:p w:rsidR="00F52D2F" w:rsidRPr="001D311E" w:rsidRDefault="00F52D2F">
      <w:pPr>
        <w:spacing w:before="60"/>
        <w:rPr>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8160"/>
      </w:tblGrid>
      <w:tr w:rsidR="00F52D2F" w:rsidRPr="00377C58">
        <w:tc>
          <w:tcPr>
            <w:tcW w:w="1200" w:type="dxa"/>
            <w:tcBorders>
              <w:top w:val="single" w:sz="1" w:space="0" w:color="0D7377"/>
              <w:left w:val="single" w:sz="1" w:space="0" w:color="0D7377"/>
              <w:bottom w:val="single" w:sz="1" w:space="0" w:color="0D7377"/>
              <w:right w:val="single" w:sz="1" w:space="0" w:color="0D7377"/>
            </w:tcBorders>
            <w:shd w:val="clear" w:color="auto" w:fill="0D7377"/>
            <w:tcMar>
              <w:top w:w="100" w:type="dxa"/>
              <w:left w:w="100" w:type="dxa"/>
              <w:bottom w:w="100" w:type="dxa"/>
              <w:right w:w="100" w:type="dxa"/>
            </w:tcMar>
            <w:vAlign w:val="center"/>
          </w:tcPr>
          <w:p w:rsidR="00F52D2F" w:rsidRDefault="001253C5">
            <w:pPr>
              <w:jc w:val="center"/>
            </w:pPr>
            <w:r>
              <w:rPr>
                <w:b/>
                <w:bCs/>
                <w:color w:val="FFFFFF"/>
                <w:sz w:val="17"/>
                <w:szCs w:val="17"/>
              </w:rPr>
              <w:t>QUESTION</w:t>
            </w:r>
          </w:p>
        </w:tc>
        <w:tc>
          <w:tcPr>
            <w:tcW w:w="8160" w:type="dxa"/>
            <w:tcBorders>
              <w:top w:val="single" w:sz="1" w:space="0" w:color="0D7377"/>
              <w:left w:val="single" w:sz="1" w:space="0" w:color="0D7377"/>
              <w:bottom w:val="single" w:sz="1" w:space="0" w:color="0D7377"/>
              <w:right w:val="single" w:sz="1" w:space="0" w:color="0D7377"/>
            </w:tcBorders>
            <w:shd w:val="clear" w:color="auto" w:fill="F8FAFC"/>
            <w:tcMar>
              <w:top w:w="100" w:type="dxa"/>
              <w:left w:w="160" w:type="dxa"/>
              <w:bottom w:w="100" w:type="dxa"/>
              <w:right w:w="120" w:type="dxa"/>
            </w:tcMar>
          </w:tcPr>
          <w:p w:rsidR="00F52D2F" w:rsidRPr="001D311E" w:rsidRDefault="001253C5">
            <w:pPr>
              <w:rPr>
                <w:lang w:val="en-GB"/>
              </w:rPr>
            </w:pPr>
            <w:r w:rsidRPr="001D311E">
              <w:rPr>
                <w:color w:val="1B2A4A"/>
                <w:lang w:val="en-GB"/>
              </w:rPr>
              <w:t>"When did your second or third line last surface something that genuinely changed a first line decision — not documented it, not monitored it, actually changed it?"</w:t>
            </w:r>
          </w:p>
          <w:p w:rsidR="00F52D2F" w:rsidRPr="001D311E" w:rsidRDefault="00F52D2F">
            <w:pPr>
              <w:spacing w:before="40"/>
              <w:rPr>
                <w:lang w:val="en-GB"/>
              </w:rPr>
            </w:pPr>
          </w:p>
          <w:p w:rsidR="00F52D2F" w:rsidRPr="001D311E" w:rsidRDefault="001253C5">
            <w:pPr>
              <w:spacing w:before="40"/>
              <w:rPr>
                <w:lang w:val="en-GB"/>
              </w:rPr>
            </w:pPr>
            <w:r w:rsidRPr="001D311E">
              <w:rPr>
                <w:color w:val="1B2A4A"/>
                <w:lang w:val="en-GB"/>
              </w:rPr>
              <w:t>The silence or difficulty in answering this is the point. Don't fill it too quickly.</w:t>
            </w:r>
          </w:p>
          <w:p w:rsidR="00F52D2F" w:rsidRPr="001D311E" w:rsidRDefault="00F52D2F">
            <w:pPr>
              <w:spacing w:before="40"/>
              <w:rPr>
                <w:lang w:val="en-GB"/>
              </w:rPr>
            </w:pPr>
          </w:p>
          <w:p w:rsidR="00F52D2F" w:rsidRPr="001D311E" w:rsidRDefault="001253C5">
            <w:pPr>
              <w:spacing w:before="40"/>
              <w:rPr>
                <w:lang w:val="en-GB"/>
              </w:rPr>
            </w:pPr>
            <w:r w:rsidRPr="001D311E">
              <w:rPr>
                <w:color w:val="1B2A4A"/>
                <w:lang w:val="en-GB"/>
              </w:rPr>
              <w:t>If there are auditors in the room: direct this at them. They have the most concrete experience of the gap between surfacing a finding and anything actually changing.</w:t>
            </w:r>
          </w:p>
        </w:tc>
      </w:tr>
    </w:tbl>
    <w:p w:rsidR="00F52D2F" w:rsidRPr="001D311E" w:rsidRDefault="00F52D2F">
      <w:pPr>
        <w:spacing w:before="60"/>
        <w:rPr>
          <w:lang w:val="en-GB"/>
        </w:rPr>
      </w:pPr>
    </w:p>
    <w:p w:rsidR="00F52D2F" w:rsidRPr="001D311E" w:rsidRDefault="001253C5">
      <w:pPr>
        <w:spacing w:before="200" w:after="60"/>
        <w:rPr>
          <w:lang w:val="en-GB"/>
        </w:rPr>
      </w:pPr>
      <w:r w:rsidRPr="001D311E">
        <w:rPr>
          <w:b/>
          <w:bCs/>
          <w:color w:val="0D7377"/>
          <w:sz w:val="21"/>
          <w:szCs w:val="21"/>
          <w:lang w:val="en-GB"/>
        </w:rPr>
        <w:t xml:space="preserve">Key moves — </w:t>
      </w:r>
      <w:proofErr w:type="spellStart"/>
      <w:r w:rsidRPr="001D311E">
        <w:rPr>
          <w:b/>
          <w:bCs/>
          <w:color w:val="0D7377"/>
          <w:sz w:val="21"/>
          <w:szCs w:val="21"/>
          <w:lang w:val="en-GB"/>
        </w:rPr>
        <w:t>Infosec</w:t>
      </w:r>
      <w:proofErr w:type="spellEnd"/>
      <w:r w:rsidRPr="001D311E">
        <w:rPr>
          <w:b/>
          <w:bCs/>
          <w:color w:val="0D7377"/>
          <w:sz w:val="21"/>
          <w:szCs w:val="21"/>
          <w:lang w:val="en-GB"/>
        </w:rPr>
        <w:t xml:space="preserve"> &amp; Privacy (Slide 11)</w:t>
      </w:r>
    </w:p>
    <w:p w:rsidR="00F52D2F" w:rsidRPr="001D311E" w:rsidRDefault="001253C5">
      <w:pPr>
        <w:pStyle w:val="Listeafsnit"/>
        <w:numPr>
          <w:ilvl w:val="0"/>
          <w:numId w:val="2"/>
        </w:numPr>
        <w:spacing w:before="36" w:after="36"/>
        <w:rPr>
          <w:lang w:val="en-GB"/>
        </w:rPr>
      </w:pPr>
      <w:r w:rsidRPr="001D311E">
        <w:rPr>
          <w:lang w:val="en-GB"/>
        </w:rPr>
        <w:t xml:space="preserve">Direct at compliance officers first, then </w:t>
      </w:r>
      <w:proofErr w:type="spellStart"/>
      <w:r w:rsidRPr="001D311E">
        <w:rPr>
          <w:lang w:val="en-GB"/>
        </w:rPr>
        <w:t>infosec</w:t>
      </w:r>
      <w:proofErr w:type="spellEnd"/>
      <w:r w:rsidRPr="001D311E">
        <w:rPr>
          <w:lang w:val="en-GB"/>
        </w:rPr>
        <w:t xml:space="preserve"> people if present, then lawyers. The timing of involvement question is something everyone has a concrete experience of.</w:t>
      </w:r>
    </w:p>
    <w:p w:rsidR="00F52D2F" w:rsidRPr="001D311E" w:rsidRDefault="001253C5">
      <w:pPr>
        <w:pStyle w:val="Listeafsnit"/>
        <w:numPr>
          <w:ilvl w:val="0"/>
          <w:numId w:val="2"/>
        </w:numPr>
        <w:spacing w:before="36" w:after="36"/>
        <w:rPr>
          <w:lang w:val="en-GB"/>
        </w:rPr>
      </w:pPr>
      <w:r w:rsidRPr="001D311E">
        <w:rPr>
          <w:lang w:val="en-GB"/>
        </w:rPr>
        <w:t xml:space="preserve">Privacy by Design is the gold standard: compliance, </w:t>
      </w:r>
      <w:proofErr w:type="spellStart"/>
      <w:r w:rsidRPr="001D311E">
        <w:rPr>
          <w:lang w:val="en-GB"/>
        </w:rPr>
        <w:t>infosec</w:t>
      </w:r>
      <w:proofErr w:type="spellEnd"/>
      <w:r w:rsidRPr="001D311E">
        <w:rPr>
          <w:lang w:val="en-GB"/>
        </w:rPr>
        <w:t>, legal, product and risk in the same conversation before the first decision is made. Not review at the end. Integration from the beginning. Organisations that do this move faster, not slower — because they don't spend the last three weeks before launch retrofitting controls.</w:t>
      </w:r>
    </w:p>
    <w:p w:rsidR="00F52D2F" w:rsidRPr="001D311E" w:rsidRDefault="00F52D2F">
      <w:pPr>
        <w:spacing w:before="60"/>
        <w:rPr>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8160"/>
      </w:tblGrid>
      <w:tr w:rsidR="00F52D2F">
        <w:tc>
          <w:tcPr>
            <w:tcW w:w="1200" w:type="dxa"/>
            <w:tcBorders>
              <w:top w:val="single" w:sz="1" w:space="0" w:color="0D7377"/>
              <w:left w:val="single" w:sz="1" w:space="0" w:color="0D7377"/>
              <w:bottom w:val="single" w:sz="1" w:space="0" w:color="0D7377"/>
              <w:right w:val="single" w:sz="1" w:space="0" w:color="0D7377"/>
            </w:tcBorders>
            <w:shd w:val="clear" w:color="auto" w:fill="0D7377"/>
            <w:tcMar>
              <w:top w:w="100" w:type="dxa"/>
              <w:left w:w="100" w:type="dxa"/>
              <w:bottom w:w="100" w:type="dxa"/>
              <w:right w:w="100" w:type="dxa"/>
            </w:tcMar>
            <w:vAlign w:val="center"/>
          </w:tcPr>
          <w:p w:rsidR="00F52D2F" w:rsidRDefault="001253C5">
            <w:pPr>
              <w:jc w:val="center"/>
            </w:pPr>
            <w:r>
              <w:rPr>
                <w:b/>
                <w:bCs/>
                <w:color w:val="FFFFFF"/>
                <w:sz w:val="17"/>
                <w:szCs w:val="17"/>
              </w:rPr>
              <w:t>QUESTION</w:t>
            </w:r>
          </w:p>
        </w:tc>
        <w:tc>
          <w:tcPr>
            <w:tcW w:w="8160" w:type="dxa"/>
            <w:tcBorders>
              <w:top w:val="single" w:sz="1" w:space="0" w:color="0D7377"/>
              <w:left w:val="single" w:sz="1" w:space="0" w:color="0D7377"/>
              <w:bottom w:val="single" w:sz="1" w:space="0" w:color="0D7377"/>
              <w:right w:val="single" w:sz="1" w:space="0" w:color="0D7377"/>
            </w:tcBorders>
            <w:shd w:val="clear" w:color="auto" w:fill="F8FAFC"/>
            <w:tcMar>
              <w:top w:w="100" w:type="dxa"/>
              <w:left w:w="160" w:type="dxa"/>
              <w:bottom w:w="100" w:type="dxa"/>
              <w:right w:w="120" w:type="dxa"/>
            </w:tcMar>
          </w:tcPr>
          <w:p w:rsidR="00F52D2F" w:rsidRPr="001D311E" w:rsidRDefault="001253C5">
            <w:pPr>
              <w:rPr>
                <w:lang w:val="en-GB"/>
              </w:rPr>
            </w:pPr>
            <w:r w:rsidRPr="001D311E">
              <w:rPr>
                <w:color w:val="1B2A4A"/>
                <w:lang w:val="en-GB"/>
              </w:rPr>
              <w:t xml:space="preserve">"In a new product or process in your organisation — at what point does compliance get involved? At what point does </w:t>
            </w:r>
            <w:proofErr w:type="spellStart"/>
            <w:r w:rsidRPr="001D311E">
              <w:rPr>
                <w:color w:val="1B2A4A"/>
                <w:lang w:val="en-GB"/>
              </w:rPr>
              <w:t>infosec</w:t>
            </w:r>
            <w:proofErr w:type="spellEnd"/>
            <w:r w:rsidRPr="001D311E">
              <w:rPr>
                <w:color w:val="1B2A4A"/>
                <w:lang w:val="en-GB"/>
              </w:rPr>
              <w:t>? Are those the same moment? If not — what does the gap cost you?"</w:t>
            </w:r>
          </w:p>
          <w:p w:rsidR="00F52D2F" w:rsidRPr="001D311E" w:rsidRDefault="00F52D2F">
            <w:pPr>
              <w:spacing w:before="40"/>
              <w:rPr>
                <w:lang w:val="en-GB"/>
              </w:rPr>
            </w:pPr>
          </w:p>
          <w:p w:rsidR="00F52D2F" w:rsidRDefault="001253C5">
            <w:pPr>
              <w:spacing w:before="40"/>
            </w:pPr>
            <w:r w:rsidRPr="001D311E">
              <w:rPr>
                <w:color w:val="1B2A4A"/>
                <w:lang w:val="en-GB"/>
              </w:rPr>
              <w:t xml:space="preserve">What you're listening for: compliance arrives at review stage, </w:t>
            </w:r>
            <w:proofErr w:type="spellStart"/>
            <w:r w:rsidRPr="001D311E">
              <w:rPr>
                <w:color w:val="1B2A4A"/>
                <w:lang w:val="en-GB"/>
              </w:rPr>
              <w:t>infosec</w:t>
            </w:r>
            <w:proofErr w:type="spellEnd"/>
            <w:r w:rsidRPr="001D311E">
              <w:rPr>
                <w:color w:val="1B2A4A"/>
                <w:lang w:val="en-GB"/>
              </w:rPr>
              <w:t xml:space="preserve"> arrives at testing stage, </w:t>
            </w:r>
            <w:proofErr w:type="gramStart"/>
            <w:r w:rsidRPr="001D311E">
              <w:rPr>
                <w:color w:val="1B2A4A"/>
                <w:lang w:val="en-GB"/>
              </w:rPr>
              <w:t>neither</w:t>
            </w:r>
            <w:proofErr w:type="gramEnd"/>
            <w:r w:rsidRPr="001D311E">
              <w:rPr>
                <w:color w:val="1B2A4A"/>
                <w:lang w:val="en-GB"/>
              </w:rPr>
              <w:t xml:space="preserve"> knows what the other found. </w:t>
            </w:r>
            <w:proofErr w:type="spellStart"/>
            <w:r>
              <w:rPr>
                <w:color w:val="1B2A4A"/>
              </w:rPr>
              <w:t>That</w:t>
            </w:r>
            <w:proofErr w:type="spellEnd"/>
            <w:r>
              <w:rPr>
                <w:color w:val="1B2A4A"/>
              </w:rPr>
              <w:t xml:space="preserve"> pattern is </w:t>
            </w:r>
            <w:proofErr w:type="spellStart"/>
            <w:r>
              <w:rPr>
                <w:color w:val="1B2A4A"/>
              </w:rPr>
              <w:t>almost</w:t>
            </w:r>
            <w:proofErr w:type="spellEnd"/>
            <w:r>
              <w:rPr>
                <w:color w:val="1B2A4A"/>
              </w:rPr>
              <w:t xml:space="preserve"> universal.</w:t>
            </w:r>
          </w:p>
        </w:tc>
      </w:tr>
    </w:tbl>
    <w:p w:rsidR="00F52D2F" w:rsidRDefault="00F52D2F">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8160"/>
      </w:tblGrid>
      <w:tr w:rsidR="00F52D2F" w:rsidRPr="00377C58">
        <w:tc>
          <w:tcPr>
            <w:tcW w:w="1200" w:type="dxa"/>
            <w:tcBorders>
              <w:top w:val="single" w:sz="1" w:space="0" w:color="B91C1C"/>
              <w:left w:val="single" w:sz="1" w:space="0" w:color="B91C1C"/>
              <w:bottom w:val="single" w:sz="1" w:space="0" w:color="B91C1C"/>
              <w:right w:val="single" w:sz="1" w:space="0" w:color="B91C1C"/>
            </w:tcBorders>
            <w:shd w:val="clear" w:color="auto" w:fill="B91C1C"/>
            <w:tcMar>
              <w:top w:w="100" w:type="dxa"/>
              <w:left w:w="100" w:type="dxa"/>
              <w:bottom w:w="100" w:type="dxa"/>
              <w:right w:w="100" w:type="dxa"/>
            </w:tcMar>
            <w:vAlign w:val="center"/>
          </w:tcPr>
          <w:p w:rsidR="00F52D2F" w:rsidRDefault="001253C5">
            <w:pPr>
              <w:jc w:val="center"/>
            </w:pPr>
            <w:r>
              <w:rPr>
                <w:b/>
                <w:bCs/>
                <w:color w:val="FFFFFF"/>
                <w:sz w:val="17"/>
                <w:szCs w:val="17"/>
              </w:rPr>
              <w:t>WATCH-OUT</w:t>
            </w:r>
          </w:p>
        </w:tc>
        <w:tc>
          <w:tcPr>
            <w:tcW w:w="8160" w:type="dxa"/>
            <w:tcBorders>
              <w:top w:val="single" w:sz="1" w:space="0" w:color="B91C1C"/>
              <w:left w:val="single" w:sz="1" w:space="0" w:color="B91C1C"/>
              <w:bottom w:val="single" w:sz="1" w:space="0" w:color="B91C1C"/>
              <w:right w:val="single" w:sz="1" w:space="0" w:color="B91C1C"/>
            </w:tcBorders>
            <w:shd w:val="clear" w:color="auto" w:fill="F8FAFC"/>
            <w:tcMar>
              <w:top w:w="100" w:type="dxa"/>
              <w:left w:w="160" w:type="dxa"/>
              <w:bottom w:w="100" w:type="dxa"/>
              <w:right w:w="120" w:type="dxa"/>
            </w:tcMar>
          </w:tcPr>
          <w:p w:rsidR="00F52D2F" w:rsidRPr="001D311E" w:rsidRDefault="001253C5">
            <w:pPr>
              <w:rPr>
                <w:lang w:val="en-GB"/>
              </w:rPr>
            </w:pPr>
            <w:r w:rsidRPr="001D311E">
              <w:rPr>
                <w:color w:val="1B2A4A"/>
                <w:lang w:val="en-GB"/>
              </w:rPr>
              <w:t xml:space="preserve">This section has the most content and the highest risk of running long. If you feel time pressure, compress the </w:t>
            </w:r>
            <w:proofErr w:type="spellStart"/>
            <w:r w:rsidRPr="001D311E">
              <w:rPr>
                <w:color w:val="1B2A4A"/>
                <w:lang w:val="en-GB"/>
              </w:rPr>
              <w:t>infosec</w:t>
            </w:r>
            <w:proofErr w:type="spellEnd"/>
            <w:r w:rsidRPr="001D311E">
              <w:rPr>
                <w:color w:val="1B2A4A"/>
                <w:lang w:val="en-GB"/>
              </w:rPr>
              <w:t>/privacy discussion to one question and one observation. The Three Lines setup is non-negotiable — Session 2 depends on it.</w:t>
            </w:r>
          </w:p>
        </w:tc>
      </w:tr>
    </w:tbl>
    <w:p w:rsidR="00F52D2F" w:rsidRPr="001D311E" w:rsidRDefault="00F52D2F">
      <w:pPr>
        <w:spacing w:before="120"/>
        <w:rPr>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60"/>
        <w:gridCol w:w="1800"/>
        <w:gridCol w:w="1800"/>
      </w:tblGrid>
      <w:tr w:rsidR="00F52D2F">
        <w:tc>
          <w:tcPr>
            <w:tcW w:w="5760" w:type="dxa"/>
            <w:tcBorders>
              <w:top w:val="none" w:sz="0" w:space="0" w:color="FFFFFF"/>
              <w:left w:val="none" w:sz="0" w:space="0" w:color="FFFFFF"/>
              <w:bottom w:val="none" w:sz="0" w:space="0" w:color="FFFFFF"/>
              <w:right w:val="none" w:sz="0" w:space="0" w:color="FFFFFF"/>
            </w:tcBorders>
            <w:shd w:val="clear" w:color="auto" w:fill="0D7377"/>
            <w:tcMar>
              <w:top w:w="80" w:type="dxa"/>
              <w:left w:w="160" w:type="dxa"/>
              <w:bottom w:w="80" w:type="dxa"/>
              <w:right w:w="120" w:type="dxa"/>
            </w:tcMar>
          </w:tcPr>
          <w:p w:rsidR="00F52D2F" w:rsidRDefault="001253C5">
            <w:r>
              <w:rPr>
                <w:b/>
                <w:bCs/>
                <w:color w:val="FFFFFF"/>
                <w:sz w:val="22"/>
                <w:szCs w:val="22"/>
              </w:rPr>
              <w:t xml:space="preserve">CLOSING — </w:t>
            </w:r>
            <w:proofErr w:type="spellStart"/>
            <w:r>
              <w:rPr>
                <w:b/>
                <w:bCs/>
                <w:color w:val="FFFFFF"/>
                <w:sz w:val="22"/>
                <w:szCs w:val="22"/>
              </w:rPr>
              <w:t>Reflection</w:t>
            </w:r>
            <w:proofErr w:type="spellEnd"/>
            <w:r>
              <w:rPr>
                <w:b/>
                <w:bCs/>
                <w:color w:val="FFFFFF"/>
                <w:sz w:val="22"/>
                <w:szCs w:val="22"/>
              </w:rPr>
              <w:t xml:space="preserve"> &amp; Bridge</w:t>
            </w:r>
          </w:p>
        </w:tc>
        <w:tc>
          <w:tcPr>
            <w:tcW w:w="1800" w:type="dxa"/>
            <w:tcBorders>
              <w:top w:val="none" w:sz="0" w:space="0" w:color="FFFFFF"/>
              <w:left w:val="none" w:sz="0" w:space="0" w:color="FFFFFF"/>
              <w:bottom w:val="none" w:sz="0" w:space="0" w:color="FFFFFF"/>
              <w:right w:val="none" w:sz="0" w:space="0" w:color="FFFFFF"/>
            </w:tcBorders>
            <w:shd w:val="clear" w:color="auto" w:fill="0A5B5E"/>
            <w:tcMar>
              <w:top w:w="80" w:type="dxa"/>
              <w:left w:w="120" w:type="dxa"/>
              <w:bottom w:w="80" w:type="dxa"/>
              <w:right w:w="120" w:type="dxa"/>
            </w:tcMar>
            <w:vAlign w:val="center"/>
          </w:tcPr>
          <w:p w:rsidR="00F52D2F" w:rsidRDefault="001253C5">
            <w:pPr>
              <w:jc w:val="center"/>
            </w:pPr>
            <w:r>
              <w:rPr>
                <w:color w:val="FFFFFF"/>
                <w:sz w:val="18"/>
                <w:szCs w:val="18"/>
              </w:rPr>
              <w:t>1:14 — 1:30</w:t>
            </w:r>
          </w:p>
        </w:tc>
        <w:tc>
          <w:tcPr>
            <w:tcW w:w="1800" w:type="dxa"/>
            <w:tcBorders>
              <w:top w:val="none" w:sz="0" w:space="0" w:color="FFFFFF"/>
              <w:left w:val="none" w:sz="0" w:space="0" w:color="FFFFFF"/>
              <w:bottom w:val="none" w:sz="0" w:space="0" w:color="FFFFFF"/>
              <w:right w:val="none" w:sz="0" w:space="0" w:color="FFFFFF"/>
            </w:tcBorders>
            <w:shd w:val="clear" w:color="auto" w:fill="084F52"/>
            <w:tcMar>
              <w:top w:w="80" w:type="dxa"/>
              <w:left w:w="120" w:type="dxa"/>
              <w:bottom w:w="80" w:type="dxa"/>
              <w:right w:w="120" w:type="dxa"/>
            </w:tcMar>
            <w:vAlign w:val="center"/>
          </w:tcPr>
          <w:p w:rsidR="00F52D2F" w:rsidRDefault="001253C5">
            <w:pPr>
              <w:jc w:val="center"/>
            </w:pPr>
            <w:r>
              <w:rPr>
                <w:color w:val="FFFFFF"/>
                <w:sz w:val="18"/>
                <w:szCs w:val="18"/>
              </w:rPr>
              <w:t>Slides 12–13</w:t>
            </w:r>
          </w:p>
        </w:tc>
      </w:tr>
    </w:tbl>
    <w:p w:rsidR="00F52D2F" w:rsidRDefault="00F52D2F">
      <w:pPr>
        <w:spacing w:before="80"/>
      </w:pPr>
    </w:p>
    <w:p w:rsidR="00F52D2F" w:rsidRDefault="001253C5">
      <w:pPr>
        <w:spacing w:before="200" w:after="60"/>
      </w:pPr>
      <w:proofErr w:type="spellStart"/>
      <w:r>
        <w:rPr>
          <w:b/>
          <w:bCs/>
          <w:color w:val="0D7377"/>
          <w:sz w:val="21"/>
          <w:szCs w:val="21"/>
        </w:rPr>
        <w:t>What</w:t>
      </w:r>
      <w:proofErr w:type="spellEnd"/>
      <w:r>
        <w:rPr>
          <w:b/>
          <w:bCs/>
          <w:color w:val="0D7377"/>
          <w:sz w:val="21"/>
          <w:szCs w:val="21"/>
        </w:rPr>
        <w:t xml:space="preserve"> </w:t>
      </w:r>
      <w:proofErr w:type="spellStart"/>
      <w:r>
        <w:rPr>
          <w:b/>
          <w:bCs/>
          <w:color w:val="0D7377"/>
          <w:sz w:val="21"/>
          <w:szCs w:val="21"/>
        </w:rPr>
        <w:t>this</w:t>
      </w:r>
      <w:proofErr w:type="spellEnd"/>
      <w:r>
        <w:rPr>
          <w:b/>
          <w:bCs/>
          <w:color w:val="0D7377"/>
          <w:sz w:val="21"/>
          <w:szCs w:val="21"/>
        </w:rPr>
        <w:t xml:space="preserve"> </w:t>
      </w:r>
      <w:proofErr w:type="spellStart"/>
      <w:r>
        <w:rPr>
          <w:b/>
          <w:bCs/>
          <w:color w:val="0D7377"/>
          <w:sz w:val="21"/>
          <w:szCs w:val="21"/>
        </w:rPr>
        <w:t>section</w:t>
      </w:r>
      <w:proofErr w:type="spellEnd"/>
      <w:r>
        <w:rPr>
          <w:b/>
          <w:bCs/>
          <w:color w:val="0D7377"/>
          <w:sz w:val="21"/>
          <w:szCs w:val="21"/>
        </w:rPr>
        <w:t xml:space="preserve"> is </w:t>
      </w:r>
      <w:proofErr w:type="spellStart"/>
      <w:r>
        <w:rPr>
          <w:b/>
          <w:bCs/>
          <w:color w:val="0D7377"/>
          <w:sz w:val="21"/>
          <w:szCs w:val="21"/>
        </w:rPr>
        <w:t>doing</w:t>
      </w:r>
      <w:proofErr w:type="spellEnd"/>
    </w:p>
    <w:p w:rsidR="00F52D2F" w:rsidRPr="001D311E" w:rsidRDefault="001253C5">
      <w:pPr>
        <w:spacing w:before="50" w:after="50"/>
        <w:rPr>
          <w:lang w:val="en-GB"/>
        </w:rPr>
      </w:pPr>
      <w:r w:rsidRPr="001D311E">
        <w:rPr>
          <w:lang w:val="en-GB"/>
        </w:rPr>
        <w:lastRenderedPageBreak/>
        <w:t>Folding the session back on itself. Return to what they wrote. Offer your framing — not as a definition but as a synthesis of what the room gave you. Plant the ladder seed. Leave them with a question that travels into the break and into Session 2.</w:t>
      </w:r>
    </w:p>
    <w:p w:rsidR="00F52D2F" w:rsidRPr="001D311E" w:rsidRDefault="00F52D2F">
      <w:pPr>
        <w:spacing w:before="60"/>
        <w:rPr>
          <w:lang w:val="en-GB"/>
        </w:rPr>
      </w:pPr>
    </w:p>
    <w:p w:rsidR="00F52D2F" w:rsidRDefault="001253C5">
      <w:pPr>
        <w:spacing w:before="200" w:after="60"/>
      </w:pPr>
      <w:r>
        <w:rPr>
          <w:b/>
          <w:bCs/>
          <w:color w:val="0D7377"/>
          <w:sz w:val="21"/>
          <w:szCs w:val="21"/>
        </w:rPr>
        <w:t xml:space="preserve">Key </w:t>
      </w:r>
      <w:proofErr w:type="spellStart"/>
      <w:r>
        <w:rPr>
          <w:b/>
          <w:bCs/>
          <w:color w:val="0D7377"/>
          <w:sz w:val="21"/>
          <w:szCs w:val="21"/>
        </w:rPr>
        <w:t>moves</w:t>
      </w:r>
      <w:proofErr w:type="spellEnd"/>
    </w:p>
    <w:p w:rsidR="00F52D2F" w:rsidRDefault="001253C5">
      <w:pPr>
        <w:pStyle w:val="Listeafsnit"/>
        <w:numPr>
          <w:ilvl w:val="0"/>
          <w:numId w:val="2"/>
        </w:numPr>
        <w:spacing w:before="36" w:after="36"/>
      </w:pPr>
      <w:r w:rsidRPr="001D311E">
        <w:rPr>
          <w:lang w:val="en-GB"/>
        </w:rPr>
        <w:t xml:space="preserve">Return the word cloud unchanged. The same words they gave you at the start, returned to them now. Ask if anything has shifted — not in the definition, but in where they think it comes from. </w:t>
      </w:r>
      <w:proofErr w:type="spellStart"/>
      <w:r>
        <w:t>Two</w:t>
      </w:r>
      <w:proofErr w:type="spellEnd"/>
      <w:r>
        <w:t xml:space="preserve"> or </w:t>
      </w:r>
      <w:proofErr w:type="spellStart"/>
      <w:r>
        <w:t>three</w:t>
      </w:r>
      <w:proofErr w:type="spellEnd"/>
      <w:r>
        <w:t xml:space="preserve"> </w:t>
      </w:r>
      <w:proofErr w:type="spellStart"/>
      <w:r>
        <w:t>responses</w:t>
      </w:r>
      <w:proofErr w:type="spellEnd"/>
      <w:r>
        <w:t xml:space="preserve">. </w:t>
      </w:r>
      <w:proofErr w:type="spellStart"/>
      <w:r>
        <w:t>Don't</w:t>
      </w:r>
      <w:proofErr w:type="spellEnd"/>
      <w:r>
        <w:t xml:space="preserve"> </w:t>
      </w:r>
      <w:proofErr w:type="spellStart"/>
      <w:r>
        <w:t>summarise</w:t>
      </w:r>
      <w:proofErr w:type="spellEnd"/>
      <w:r>
        <w:t>.</w:t>
      </w:r>
    </w:p>
    <w:p w:rsidR="00F52D2F" w:rsidRPr="001D311E" w:rsidRDefault="001253C5">
      <w:pPr>
        <w:pStyle w:val="Listeafsnit"/>
        <w:numPr>
          <w:ilvl w:val="0"/>
          <w:numId w:val="2"/>
        </w:numPr>
        <w:spacing w:before="36" w:after="36"/>
        <w:rPr>
          <w:lang w:val="en-GB"/>
        </w:rPr>
      </w:pPr>
      <w:proofErr w:type="gramStart"/>
      <w:r w:rsidRPr="001D311E">
        <w:rPr>
          <w:lang w:val="en-GB"/>
        </w:rPr>
        <w:t>Your</w:t>
      </w:r>
      <w:proofErr w:type="gramEnd"/>
      <w:r w:rsidRPr="001D311E">
        <w:rPr>
          <w:lang w:val="en-GB"/>
        </w:rPr>
        <w:t xml:space="preserve"> framing — offer this as synthesis, not correction. Something like: the best words in this room point to relationships, not functions. Governance is a relationship between authority and accountability. Risk is a relationship between ambition and reality. Compliance is a relationship between obligation and behaviour. When those relationships are working, you have integration. When they are not, you have three separate conversations and a gap in the middle where decisions happen without any of them.</w:t>
      </w:r>
    </w:p>
    <w:p w:rsidR="00F52D2F" w:rsidRPr="001D311E" w:rsidRDefault="001253C5">
      <w:pPr>
        <w:pStyle w:val="Listeafsnit"/>
        <w:numPr>
          <w:ilvl w:val="0"/>
          <w:numId w:val="2"/>
        </w:numPr>
        <w:spacing w:before="36" w:after="36"/>
        <w:rPr>
          <w:lang w:val="en-GB"/>
        </w:rPr>
      </w:pPr>
      <w:r w:rsidRPr="001D311E">
        <w:rPr>
          <w:lang w:val="en-GB"/>
        </w:rPr>
        <w:t>This is the right moment for your framing — not at the start before they have thought, but at the end when it arrives as recognition of what they already said.</w:t>
      </w:r>
    </w:p>
    <w:p w:rsidR="00F52D2F" w:rsidRPr="001D311E" w:rsidRDefault="001253C5">
      <w:pPr>
        <w:pStyle w:val="Listeafsnit"/>
        <w:numPr>
          <w:ilvl w:val="0"/>
          <w:numId w:val="2"/>
        </w:numPr>
        <w:spacing w:before="36" w:after="36"/>
        <w:rPr>
          <w:lang w:val="en-GB"/>
        </w:rPr>
      </w:pPr>
      <w:r w:rsidRPr="001D311E">
        <w:rPr>
          <w:lang w:val="en-GB"/>
        </w:rPr>
        <w:t>The ladder seed: these relationships operate at very different levels of depth in different organisations. The difference is not usually the framework. We'll look at that next.</w:t>
      </w:r>
    </w:p>
    <w:p w:rsidR="00F52D2F" w:rsidRPr="001D311E" w:rsidRDefault="00F52D2F">
      <w:pPr>
        <w:spacing w:before="60"/>
        <w:rPr>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8160"/>
      </w:tblGrid>
      <w:tr w:rsidR="00F52D2F" w:rsidRPr="00377C58">
        <w:tc>
          <w:tcPr>
            <w:tcW w:w="1200" w:type="dxa"/>
            <w:tcBorders>
              <w:top w:val="single" w:sz="1" w:space="0" w:color="C47D00"/>
              <w:left w:val="single" w:sz="1" w:space="0" w:color="C47D00"/>
              <w:bottom w:val="single" w:sz="1" w:space="0" w:color="C47D00"/>
              <w:right w:val="single" w:sz="1" w:space="0" w:color="C47D00"/>
            </w:tcBorders>
            <w:shd w:val="clear" w:color="auto" w:fill="C47D00"/>
            <w:tcMar>
              <w:top w:w="100" w:type="dxa"/>
              <w:left w:w="100" w:type="dxa"/>
              <w:bottom w:w="100" w:type="dxa"/>
              <w:right w:w="100" w:type="dxa"/>
            </w:tcMar>
            <w:vAlign w:val="center"/>
          </w:tcPr>
          <w:p w:rsidR="00F52D2F" w:rsidRDefault="001253C5">
            <w:pPr>
              <w:jc w:val="center"/>
            </w:pPr>
            <w:r>
              <w:rPr>
                <w:b/>
                <w:bCs/>
                <w:color w:val="FFFFFF"/>
                <w:sz w:val="17"/>
                <w:szCs w:val="17"/>
              </w:rPr>
              <w:t>TRANSITION</w:t>
            </w:r>
          </w:p>
        </w:tc>
        <w:tc>
          <w:tcPr>
            <w:tcW w:w="8160" w:type="dxa"/>
            <w:tcBorders>
              <w:top w:val="single" w:sz="1" w:space="0" w:color="C47D00"/>
              <w:left w:val="single" w:sz="1" w:space="0" w:color="C47D00"/>
              <w:bottom w:val="single" w:sz="1" w:space="0" w:color="C47D00"/>
              <w:right w:val="single" w:sz="1" w:space="0" w:color="C47D00"/>
            </w:tcBorders>
            <w:shd w:val="clear" w:color="auto" w:fill="F8FAFC"/>
            <w:tcMar>
              <w:top w:w="100" w:type="dxa"/>
              <w:left w:w="160" w:type="dxa"/>
              <w:bottom w:w="100" w:type="dxa"/>
              <w:right w:w="120" w:type="dxa"/>
            </w:tcMar>
          </w:tcPr>
          <w:p w:rsidR="00F52D2F" w:rsidRPr="001D311E" w:rsidRDefault="001253C5">
            <w:pPr>
              <w:rPr>
                <w:lang w:val="en-GB"/>
              </w:rPr>
            </w:pPr>
            <w:r w:rsidRPr="001D311E">
              <w:rPr>
                <w:color w:val="1B2A4A"/>
                <w:lang w:val="en-GB"/>
              </w:rPr>
              <w:t>Bridge question on screen. Read it aloud. Pause. "Take this with you for the break. Ten minutes." Stop. Don't add anything. Leave the slide on screen. The question is the last thing they hear and the first thing they see when they return.</w:t>
            </w:r>
          </w:p>
        </w:tc>
      </w:tr>
    </w:tbl>
    <w:p w:rsidR="00F52D2F" w:rsidRPr="001D311E" w:rsidRDefault="00F52D2F">
      <w:pPr>
        <w:spacing w:before="60"/>
        <w:rPr>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8160"/>
      </w:tblGrid>
      <w:tr w:rsidR="00F52D2F" w:rsidRPr="00377C58">
        <w:tc>
          <w:tcPr>
            <w:tcW w:w="1200" w:type="dxa"/>
            <w:tcBorders>
              <w:top w:val="single" w:sz="1" w:space="0" w:color="B91C1C"/>
              <w:left w:val="single" w:sz="1" w:space="0" w:color="B91C1C"/>
              <w:bottom w:val="single" w:sz="1" w:space="0" w:color="B91C1C"/>
              <w:right w:val="single" w:sz="1" w:space="0" w:color="B91C1C"/>
            </w:tcBorders>
            <w:shd w:val="clear" w:color="auto" w:fill="B91C1C"/>
            <w:tcMar>
              <w:top w:w="100" w:type="dxa"/>
              <w:left w:w="100" w:type="dxa"/>
              <w:bottom w:w="100" w:type="dxa"/>
              <w:right w:w="100" w:type="dxa"/>
            </w:tcMar>
            <w:vAlign w:val="center"/>
          </w:tcPr>
          <w:p w:rsidR="00F52D2F" w:rsidRDefault="001253C5">
            <w:pPr>
              <w:jc w:val="center"/>
            </w:pPr>
            <w:r>
              <w:rPr>
                <w:b/>
                <w:bCs/>
                <w:color w:val="FFFFFF"/>
                <w:sz w:val="17"/>
                <w:szCs w:val="17"/>
              </w:rPr>
              <w:t>WATCH-OUT</w:t>
            </w:r>
          </w:p>
        </w:tc>
        <w:tc>
          <w:tcPr>
            <w:tcW w:w="8160" w:type="dxa"/>
            <w:tcBorders>
              <w:top w:val="single" w:sz="1" w:space="0" w:color="B91C1C"/>
              <w:left w:val="single" w:sz="1" w:space="0" w:color="B91C1C"/>
              <w:bottom w:val="single" w:sz="1" w:space="0" w:color="B91C1C"/>
              <w:right w:val="single" w:sz="1" w:space="0" w:color="B91C1C"/>
            </w:tcBorders>
            <w:shd w:val="clear" w:color="auto" w:fill="F8FAFC"/>
            <w:tcMar>
              <w:top w:w="100" w:type="dxa"/>
              <w:left w:w="160" w:type="dxa"/>
              <w:bottom w:w="100" w:type="dxa"/>
              <w:right w:w="120" w:type="dxa"/>
            </w:tcMar>
          </w:tcPr>
          <w:p w:rsidR="00F52D2F" w:rsidRPr="001D311E" w:rsidRDefault="001253C5">
            <w:pPr>
              <w:rPr>
                <w:lang w:val="en-GB"/>
              </w:rPr>
            </w:pPr>
            <w:r w:rsidRPr="001D311E">
              <w:rPr>
                <w:color w:val="1B2A4A"/>
                <w:lang w:val="en-GB"/>
              </w:rPr>
              <w:t>The instinct at the end of a session is to summarise. Resist completely. A summary signals the thinking is finished. The bridge question signals it is still open. This cohort respond better to open than to tidy.</w:t>
            </w:r>
          </w:p>
        </w:tc>
      </w:tr>
    </w:tbl>
    <w:p w:rsidR="00F52D2F" w:rsidRPr="001D311E" w:rsidRDefault="001253C5">
      <w:pPr>
        <w:rPr>
          <w:lang w:val="en-GB"/>
        </w:rPr>
      </w:pPr>
      <w:r w:rsidRPr="001D311E">
        <w:rPr>
          <w:lang w:val="en-GB"/>
        </w:rPr>
        <w:br w:type="page"/>
      </w:r>
    </w:p>
    <w:p w:rsidR="00F52D2F" w:rsidRPr="001D311E" w:rsidRDefault="001253C5">
      <w:pPr>
        <w:shd w:val="clear" w:color="auto" w:fill="1B2A4A"/>
        <w:spacing w:before="280" w:after="100"/>
        <w:ind w:left="200"/>
        <w:rPr>
          <w:lang w:val="en-GB"/>
        </w:rPr>
      </w:pPr>
      <w:r w:rsidRPr="001D311E">
        <w:rPr>
          <w:b/>
          <w:bCs/>
          <w:color w:val="FFFFFF"/>
          <w:sz w:val="30"/>
          <w:szCs w:val="30"/>
          <w:lang w:val="en-GB"/>
        </w:rPr>
        <w:lastRenderedPageBreak/>
        <w:t>SESSION 2 — Compliance Frameworks</w:t>
      </w:r>
    </w:p>
    <w:p w:rsidR="00F52D2F" w:rsidRPr="001D311E" w:rsidRDefault="001253C5">
      <w:pPr>
        <w:spacing w:before="50" w:after="50"/>
        <w:rPr>
          <w:lang w:val="en-GB"/>
        </w:rPr>
      </w:pPr>
      <w:r w:rsidRPr="001D311E">
        <w:rPr>
          <w:color w:val="94A3B8"/>
          <w:sz w:val="17"/>
          <w:szCs w:val="17"/>
          <w:lang w:val="en-GB"/>
        </w:rPr>
        <w:t>5:30–</w:t>
      </w:r>
      <w:proofErr w:type="gramStart"/>
      <w:r w:rsidRPr="001D311E">
        <w:rPr>
          <w:color w:val="94A3B8"/>
          <w:sz w:val="17"/>
          <w:szCs w:val="17"/>
          <w:lang w:val="en-GB"/>
        </w:rPr>
        <w:t>6:50pm  ·</w:t>
      </w:r>
      <w:proofErr w:type="gramEnd"/>
      <w:r w:rsidRPr="001D311E">
        <w:rPr>
          <w:color w:val="94A3B8"/>
          <w:sz w:val="17"/>
          <w:szCs w:val="17"/>
          <w:lang w:val="en-GB"/>
        </w:rPr>
        <w:t xml:space="preserve">  80 minutes  ·  12 main slides + 9 backup slides</w:t>
      </w:r>
    </w:p>
    <w:p w:rsidR="00F52D2F" w:rsidRPr="001D311E" w:rsidRDefault="00F52D2F">
      <w:pPr>
        <w:spacing w:before="60"/>
        <w:rPr>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F52D2F">
        <w:tc>
          <w:tcPr>
            <w:tcW w:w="0" w:type="auto"/>
            <w:tcBorders>
              <w:top w:val="single" w:sz="1" w:space="0" w:color="1B2A4A"/>
              <w:left w:val="single" w:sz="1" w:space="0" w:color="1B2A4A"/>
              <w:bottom w:val="single" w:sz="1" w:space="0" w:color="1B2A4A"/>
              <w:right w:val="single" w:sz="1" w:space="0" w:color="1B2A4A"/>
            </w:tcBorders>
            <w:shd w:val="clear" w:color="auto" w:fill="E2E8F0"/>
            <w:tcMar>
              <w:top w:w="100" w:type="dxa"/>
              <w:left w:w="180" w:type="dxa"/>
              <w:bottom w:w="100" w:type="dxa"/>
              <w:right w:w="180" w:type="dxa"/>
            </w:tcMar>
          </w:tcPr>
          <w:p w:rsidR="00F52D2F" w:rsidRPr="001D311E" w:rsidRDefault="001253C5">
            <w:pPr>
              <w:spacing w:before="50" w:after="50"/>
              <w:rPr>
                <w:lang w:val="en-GB"/>
              </w:rPr>
            </w:pPr>
            <w:r w:rsidRPr="001D311E">
              <w:rPr>
                <w:b/>
                <w:bCs/>
                <w:color w:val="1B2A4A"/>
                <w:lang w:val="en-GB"/>
              </w:rPr>
              <w:t>Session goal: Show that the gap between performing GRC and doing it is the central professional challenge — now made sharper by AI and complexity. Three provocations, each deepening the previous. Students leave with three things they'll still be thinking about on Monday morning and one question they carry back to their organisations.</w:t>
            </w:r>
          </w:p>
          <w:p w:rsidR="00F52D2F" w:rsidRPr="001D311E" w:rsidRDefault="00F52D2F">
            <w:pPr>
              <w:spacing w:before="40"/>
              <w:rPr>
                <w:lang w:val="en-GB"/>
              </w:rPr>
            </w:pPr>
          </w:p>
          <w:p w:rsidR="00F52D2F" w:rsidRDefault="001253C5">
            <w:pPr>
              <w:spacing w:before="50" w:after="50"/>
            </w:pPr>
            <w:r w:rsidRPr="001D311E">
              <w:rPr>
                <w:lang w:val="en-GB"/>
              </w:rPr>
              <w:t xml:space="preserve">Energy note: You are the second session after a ten-minute break, three hours into a learning day. Don't compensate with energy — compensate with precision. Quieter, more direct, more willing to let silence work. </w:t>
            </w:r>
            <w:r>
              <w:t xml:space="preserve">The </w:t>
            </w:r>
            <w:proofErr w:type="spellStart"/>
            <w:r>
              <w:t>provocations</w:t>
            </w:r>
            <w:proofErr w:type="spellEnd"/>
            <w:r>
              <w:t xml:space="preserve"> do the heavy </w:t>
            </w:r>
            <w:proofErr w:type="spellStart"/>
            <w:r>
              <w:t>lifting</w:t>
            </w:r>
            <w:proofErr w:type="spellEnd"/>
            <w:r>
              <w:t>.</w:t>
            </w:r>
          </w:p>
        </w:tc>
      </w:tr>
    </w:tbl>
    <w:p w:rsidR="00F52D2F" w:rsidRDefault="00F52D2F">
      <w:pPr>
        <w:spacing w:before="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60"/>
        <w:gridCol w:w="1800"/>
        <w:gridCol w:w="1800"/>
      </w:tblGrid>
      <w:tr w:rsidR="00F52D2F">
        <w:tc>
          <w:tcPr>
            <w:tcW w:w="5760" w:type="dxa"/>
            <w:tcBorders>
              <w:top w:val="none" w:sz="0" w:space="0" w:color="FFFFFF"/>
              <w:left w:val="none" w:sz="0" w:space="0" w:color="FFFFFF"/>
              <w:bottom w:val="none" w:sz="0" w:space="0" w:color="FFFFFF"/>
              <w:right w:val="none" w:sz="0" w:space="0" w:color="FFFFFF"/>
            </w:tcBorders>
            <w:shd w:val="clear" w:color="auto" w:fill="0D7377"/>
            <w:tcMar>
              <w:top w:w="80" w:type="dxa"/>
              <w:left w:w="160" w:type="dxa"/>
              <w:bottom w:w="80" w:type="dxa"/>
              <w:right w:w="120" w:type="dxa"/>
            </w:tcMar>
          </w:tcPr>
          <w:p w:rsidR="00F52D2F" w:rsidRDefault="001253C5">
            <w:r>
              <w:rPr>
                <w:b/>
                <w:bCs/>
                <w:color w:val="FFFFFF"/>
                <w:sz w:val="22"/>
                <w:szCs w:val="22"/>
              </w:rPr>
              <w:t xml:space="preserve">OPENING — </w:t>
            </w:r>
            <w:proofErr w:type="spellStart"/>
            <w:r>
              <w:rPr>
                <w:b/>
                <w:bCs/>
                <w:color w:val="FFFFFF"/>
                <w:sz w:val="22"/>
                <w:szCs w:val="22"/>
              </w:rPr>
              <w:t>Hunziker</w:t>
            </w:r>
            <w:proofErr w:type="spellEnd"/>
            <w:r>
              <w:rPr>
                <w:b/>
                <w:bCs/>
                <w:color w:val="FFFFFF"/>
                <w:sz w:val="22"/>
                <w:szCs w:val="22"/>
              </w:rPr>
              <w:t xml:space="preserve"> &amp; The Cartoon</w:t>
            </w:r>
          </w:p>
        </w:tc>
        <w:tc>
          <w:tcPr>
            <w:tcW w:w="1800" w:type="dxa"/>
            <w:tcBorders>
              <w:top w:val="none" w:sz="0" w:space="0" w:color="FFFFFF"/>
              <w:left w:val="none" w:sz="0" w:space="0" w:color="FFFFFF"/>
              <w:bottom w:val="none" w:sz="0" w:space="0" w:color="FFFFFF"/>
              <w:right w:val="none" w:sz="0" w:space="0" w:color="FFFFFF"/>
            </w:tcBorders>
            <w:shd w:val="clear" w:color="auto" w:fill="0A5B5E"/>
            <w:tcMar>
              <w:top w:w="80" w:type="dxa"/>
              <w:left w:w="120" w:type="dxa"/>
              <w:bottom w:w="80" w:type="dxa"/>
              <w:right w:w="120" w:type="dxa"/>
            </w:tcMar>
            <w:vAlign w:val="center"/>
          </w:tcPr>
          <w:p w:rsidR="00F52D2F" w:rsidRDefault="001253C5">
            <w:pPr>
              <w:jc w:val="center"/>
            </w:pPr>
            <w:r>
              <w:rPr>
                <w:color w:val="FFFFFF"/>
                <w:sz w:val="18"/>
                <w:szCs w:val="18"/>
              </w:rPr>
              <w:t>0:00 — 0:20</w:t>
            </w:r>
          </w:p>
        </w:tc>
        <w:tc>
          <w:tcPr>
            <w:tcW w:w="1800" w:type="dxa"/>
            <w:tcBorders>
              <w:top w:val="none" w:sz="0" w:space="0" w:color="FFFFFF"/>
              <w:left w:val="none" w:sz="0" w:space="0" w:color="FFFFFF"/>
              <w:bottom w:val="none" w:sz="0" w:space="0" w:color="FFFFFF"/>
              <w:right w:val="none" w:sz="0" w:space="0" w:color="FFFFFF"/>
            </w:tcBorders>
            <w:shd w:val="clear" w:color="auto" w:fill="084F52"/>
            <w:tcMar>
              <w:top w:w="80" w:type="dxa"/>
              <w:left w:w="120" w:type="dxa"/>
              <w:bottom w:w="80" w:type="dxa"/>
              <w:right w:w="120" w:type="dxa"/>
            </w:tcMar>
            <w:vAlign w:val="center"/>
          </w:tcPr>
          <w:p w:rsidR="00F52D2F" w:rsidRDefault="001253C5">
            <w:pPr>
              <w:jc w:val="center"/>
            </w:pPr>
            <w:r>
              <w:rPr>
                <w:color w:val="FFFFFF"/>
                <w:sz w:val="18"/>
                <w:szCs w:val="18"/>
              </w:rPr>
              <w:t>Slides 1–3</w:t>
            </w:r>
          </w:p>
        </w:tc>
      </w:tr>
    </w:tbl>
    <w:p w:rsidR="00F52D2F" w:rsidRDefault="00F52D2F">
      <w:pPr>
        <w:spacing w:before="80"/>
      </w:pPr>
    </w:p>
    <w:p w:rsidR="00F52D2F" w:rsidRDefault="001253C5">
      <w:pPr>
        <w:spacing w:before="200" w:after="60"/>
      </w:pPr>
      <w:proofErr w:type="spellStart"/>
      <w:r>
        <w:rPr>
          <w:b/>
          <w:bCs/>
          <w:color w:val="0D7377"/>
          <w:sz w:val="21"/>
          <w:szCs w:val="21"/>
        </w:rPr>
        <w:t>What</w:t>
      </w:r>
      <w:proofErr w:type="spellEnd"/>
      <w:r>
        <w:rPr>
          <w:b/>
          <w:bCs/>
          <w:color w:val="0D7377"/>
          <w:sz w:val="21"/>
          <w:szCs w:val="21"/>
        </w:rPr>
        <w:t xml:space="preserve"> </w:t>
      </w:r>
      <w:proofErr w:type="spellStart"/>
      <w:r>
        <w:rPr>
          <w:b/>
          <w:bCs/>
          <w:color w:val="0D7377"/>
          <w:sz w:val="21"/>
          <w:szCs w:val="21"/>
        </w:rPr>
        <w:t>this</w:t>
      </w:r>
      <w:proofErr w:type="spellEnd"/>
      <w:r>
        <w:rPr>
          <w:b/>
          <w:bCs/>
          <w:color w:val="0D7377"/>
          <w:sz w:val="21"/>
          <w:szCs w:val="21"/>
        </w:rPr>
        <w:t xml:space="preserve"> </w:t>
      </w:r>
      <w:proofErr w:type="spellStart"/>
      <w:r>
        <w:rPr>
          <w:b/>
          <w:bCs/>
          <w:color w:val="0D7377"/>
          <w:sz w:val="21"/>
          <w:szCs w:val="21"/>
        </w:rPr>
        <w:t>section</w:t>
      </w:r>
      <w:proofErr w:type="spellEnd"/>
      <w:r>
        <w:rPr>
          <w:b/>
          <w:bCs/>
          <w:color w:val="0D7377"/>
          <w:sz w:val="21"/>
          <w:szCs w:val="21"/>
        </w:rPr>
        <w:t xml:space="preserve"> is </w:t>
      </w:r>
      <w:proofErr w:type="spellStart"/>
      <w:r>
        <w:rPr>
          <w:b/>
          <w:bCs/>
          <w:color w:val="0D7377"/>
          <w:sz w:val="21"/>
          <w:szCs w:val="21"/>
        </w:rPr>
        <w:t>doing</w:t>
      </w:r>
      <w:proofErr w:type="spellEnd"/>
    </w:p>
    <w:p w:rsidR="00F52D2F" w:rsidRPr="001D311E" w:rsidRDefault="001253C5">
      <w:pPr>
        <w:spacing w:before="50" w:after="50"/>
        <w:rPr>
          <w:lang w:val="en-GB"/>
        </w:rPr>
      </w:pPr>
      <w:r w:rsidRPr="001D311E">
        <w:rPr>
          <w:lang w:val="en-GB"/>
        </w:rPr>
        <w:t xml:space="preserve">Re-engaging the room with the bridge question, introducing the </w:t>
      </w:r>
      <w:proofErr w:type="spellStart"/>
      <w:r w:rsidRPr="001D311E">
        <w:rPr>
          <w:lang w:val="en-GB"/>
        </w:rPr>
        <w:t>Hunziker</w:t>
      </w:r>
      <w:proofErr w:type="spellEnd"/>
      <w:r w:rsidRPr="001D311E">
        <w:rPr>
          <w:lang w:val="en-GB"/>
        </w:rPr>
        <w:t xml:space="preserve"> provocation as the spine of the session, and using the cartoon to make the provocation visceral and immediate before any framework analysis begins. The opening establishes the central tension: ERM and compliance functions exist, produce </w:t>
      </w:r>
      <w:proofErr w:type="spellStart"/>
      <w:r w:rsidRPr="001D311E">
        <w:rPr>
          <w:lang w:val="en-GB"/>
        </w:rPr>
        <w:t>artifacts</w:t>
      </w:r>
      <w:proofErr w:type="spellEnd"/>
      <w:r w:rsidRPr="001D311E">
        <w:rPr>
          <w:lang w:val="en-GB"/>
        </w:rPr>
        <w:t>, satisfy auditors — and may or may not actually change what organisations do.</w:t>
      </w:r>
    </w:p>
    <w:p w:rsidR="00F52D2F" w:rsidRPr="001D311E" w:rsidRDefault="00F52D2F">
      <w:pPr>
        <w:spacing w:before="60"/>
        <w:rPr>
          <w:lang w:val="en-GB"/>
        </w:rPr>
      </w:pPr>
    </w:p>
    <w:p w:rsidR="00F52D2F" w:rsidRDefault="001253C5">
      <w:pPr>
        <w:spacing w:before="200" w:after="60"/>
      </w:pPr>
      <w:r>
        <w:rPr>
          <w:b/>
          <w:bCs/>
          <w:color w:val="0D7377"/>
          <w:sz w:val="21"/>
          <w:szCs w:val="21"/>
        </w:rPr>
        <w:t xml:space="preserve">Key </w:t>
      </w:r>
      <w:proofErr w:type="spellStart"/>
      <w:r>
        <w:rPr>
          <w:b/>
          <w:bCs/>
          <w:color w:val="0D7377"/>
          <w:sz w:val="21"/>
          <w:szCs w:val="21"/>
        </w:rPr>
        <w:t>moves</w:t>
      </w:r>
      <w:proofErr w:type="spellEnd"/>
    </w:p>
    <w:p w:rsidR="00F52D2F" w:rsidRDefault="001253C5">
      <w:pPr>
        <w:pStyle w:val="Listeafsnit"/>
        <w:numPr>
          <w:ilvl w:val="0"/>
          <w:numId w:val="2"/>
        </w:numPr>
        <w:spacing w:before="36" w:after="36"/>
      </w:pPr>
      <w:r w:rsidRPr="001D311E">
        <w:rPr>
          <w:lang w:val="en-GB"/>
        </w:rPr>
        <w:t xml:space="preserve">Bridge question still on screen. Don't change it immediately. Pick up the thread: did anyone find an answer? If yes, explore it briefly. If no — that's equally valid. 'We often talk at each other with data. Rarely with each other about consequences. </w:t>
      </w:r>
      <w:proofErr w:type="spellStart"/>
      <w:r>
        <w:t>That's</w:t>
      </w:r>
      <w:proofErr w:type="spellEnd"/>
      <w:r>
        <w:t xml:space="preserve"> the </w:t>
      </w:r>
      <w:proofErr w:type="spellStart"/>
      <w:r>
        <w:t>gap</w:t>
      </w:r>
      <w:proofErr w:type="spellEnd"/>
      <w:r>
        <w:t xml:space="preserve"> </w:t>
      </w:r>
      <w:proofErr w:type="spellStart"/>
      <w:r>
        <w:t>this</w:t>
      </w:r>
      <w:proofErr w:type="spellEnd"/>
      <w:r>
        <w:t xml:space="preserve"> session is </w:t>
      </w:r>
      <w:proofErr w:type="spellStart"/>
      <w:r>
        <w:t>about</w:t>
      </w:r>
      <w:proofErr w:type="spellEnd"/>
      <w:r>
        <w:t>.'</w:t>
      </w:r>
    </w:p>
    <w:p w:rsidR="00F52D2F" w:rsidRDefault="001253C5">
      <w:pPr>
        <w:pStyle w:val="Listeafsnit"/>
        <w:numPr>
          <w:ilvl w:val="0"/>
          <w:numId w:val="2"/>
        </w:numPr>
        <w:spacing w:before="36" w:after="36"/>
      </w:pPr>
      <w:proofErr w:type="spellStart"/>
      <w:r w:rsidRPr="001D311E">
        <w:rPr>
          <w:lang w:val="en-GB"/>
        </w:rPr>
        <w:t>Hunziker</w:t>
      </w:r>
      <w:proofErr w:type="spellEnd"/>
      <w:r w:rsidRPr="001D311E">
        <w:rPr>
          <w:lang w:val="en-GB"/>
        </w:rPr>
        <w:t xml:space="preserve">: not cynicism, a diagnostic. Did ERM produce the outcomes it claims — or would they have materialised anyway? The question doesn't require an answer yet. It requires acknowledgment that it's a legitimate question. </w:t>
      </w:r>
      <w:r>
        <w:t xml:space="preserve">Take </w:t>
      </w:r>
      <w:proofErr w:type="spellStart"/>
      <w:r>
        <w:t>three</w:t>
      </w:r>
      <w:proofErr w:type="spellEnd"/>
      <w:r>
        <w:t xml:space="preserve"> </w:t>
      </w:r>
      <w:proofErr w:type="spellStart"/>
      <w:r>
        <w:t>responses</w:t>
      </w:r>
      <w:proofErr w:type="spellEnd"/>
      <w:r>
        <w:t xml:space="preserve">, no </w:t>
      </w:r>
      <w:proofErr w:type="spellStart"/>
      <w:r>
        <w:t>evaluation</w:t>
      </w:r>
      <w:proofErr w:type="spellEnd"/>
      <w:r>
        <w:t>.</w:t>
      </w:r>
    </w:p>
    <w:p w:rsidR="00F52D2F" w:rsidRDefault="001253C5">
      <w:pPr>
        <w:pStyle w:val="Listeafsnit"/>
        <w:numPr>
          <w:ilvl w:val="0"/>
          <w:numId w:val="2"/>
        </w:numPr>
        <w:spacing w:before="36" w:after="36"/>
      </w:pPr>
      <w:r w:rsidRPr="001D311E">
        <w:rPr>
          <w:lang w:val="en-GB"/>
        </w:rPr>
        <w:t xml:space="preserve">The cartoon: no words, no explanation. Put it on screen. Ten seconds. Then the question. Let the laugh happen — it's an uncomfortable laugh, that's correct. Then the argument: the left panel is not a failure of ERM design. The frameworks are well designed. The left panel is what happens when the design is right and the conditions — culture, leadership maturity, genuine integration — are not present. </w:t>
      </w:r>
      <w:r>
        <w:t xml:space="preserve">No framework </w:t>
      </w:r>
      <w:proofErr w:type="spellStart"/>
      <w:r>
        <w:t>can</w:t>
      </w:r>
      <w:proofErr w:type="spellEnd"/>
      <w:r>
        <w:t xml:space="preserve"> </w:t>
      </w:r>
      <w:proofErr w:type="spellStart"/>
      <w:r>
        <w:t>mandate</w:t>
      </w:r>
      <w:proofErr w:type="spellEnd"/>
      <w:r>
        <w:t xml:space="preserve"> </w:t>
      </w:r>
      <w:proofErr w:type="spellStart"/>
      <w:r>
        <w:t>those</w:t>
      </w:r>
      <w:proofErr w:type="spellEnd"/>
      <w:r>
        <w:t xml:space="preserve"> </w:t>
      </w:r>
      <w:proofErr w:type="spellStart"/>
      <w:r>
        <w:t>conditions</w:t>
      </w:r>
      <w:proofErr w:type="spellEnd"/>
      <w:r>
        <w:t>.</w:t>
      </w:r>
    </w:p>
    <w:p w:rsidR="00F52D2F" w:rsidRDefault="00F52D2F">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8160"/>
      </w:tblGrid>
      <w:tr w:rsidR="00F52D2F" w:rsidRPr="00377C58">
        <w:tc>
          <w:tcPr>
            <w:tcW w:w="1200" w:type="dxa"/>
            <w:tcBorders>
              <w:top w:val="single" w:sz="1" w:space="0" w:color="0D7377"/>
              <w:left w:val="single" w:sz="1" w:space="0" w:color="0D7377"/>
              <w:bottom w:val="single" w:sz="1" w:space="0" w:color="0D7377"/>
              <w:right w:val="single" w:sz="1" w:space="0" w:color="0D7377"/>
            </w:tcBorders>
            <w:shd w:val="clear" w:color="auto" w:fill="0D7377"/>
            <w:tcMar>
              <w:top w:w="100" w:type="dxa"/>
              <w:left w:w="100" w:type="dxa"/>
              <w:bottom w:w="100" w:type="dxa"/>
              <w:right w:w="100" w:type="dxa"/>
            </w:tcMar>
            <w:vAlign w:val="center"/>
          </w:tcPr>
          <w:p w:rsidR="00F52D2F" w:rsidRDefault="001253C5">
            <w:pPr>
              <w:jc w:val="center"/>
            </w:pPr>
            <w:r>
              <w:rPr>
                <w:b/>
                <w:bCs/>
                <w:color w:val="FFFFFF"/>
                <w:sz w:val="17"/>
                <w:szCs w:val="17"/>
              </w:rPr>
              <w:t>QUESTION</w:t>
            </w:r>
          </w:p>
        </w:tc>
        <w:tc>
          <w:tcPr>
            <w:tcW w:w="8160" w:type="dxa"/>
            <w:tcBorders>
              <w:top w:val="single" w:sz="1" w:space="0" w:color="0D7377"/>
              <w:left w:val="single" w:sz="1" w:space="0" w:color="0D7377"/>
              <w:bottom w:val="single" w:sz="1" w:space="0" w:color="0D7377"/>
              <w:right w:val="single" w:sz="1" w:space="0" w:color="0D7377"/>
            </w:tcBorders>
            <w:shd w:val="clear" w:color="auto" w:fill="F8FAFC"/>
            <w:tcMar>
              <w:top w:w="100" w:type="dxa"/>
              <w:left w:w="160" w:type="dxa"/>
              <w:bottom w:w="100" w:type="dxa"/>
              <w:right w:w="120" w:type="dxa"/>
            </w:tcMar>
          </w:tcPr>
          <w:p w:rsidR="00F52D2F" w:rsidRPr="001D311E" w:rsidRDefault="001253C5">
            <w:pPr>
              <w:rPr>
                <w:lang w:val="en-GB"/>
              </w:rPr>
            </w:pPr>
            <w:r w:rsidRPr="001D311E">
              <w:rPr>
                <w:color w:val="1B2A4A"/>
                <w:lang w:val="en-GB"/>
              </w:rPr>
              <w:t>"Which room have you spent more time in this week?"</w:t>
            </w:r>
          </w:p>
          <w:p w:rsidR="00F52D2F" w:rsidRPr="001D311E" w:rsidRDefault="00F52D2F">
            <w:pPr>
              <w:spacing w:before="40"/>
              <w:rPr>
                <w:lang w:val="en-GB"/>
              </w:rPr>
            </w:pPr>
          </w:p>
          <w:p w:rsidR="00F52D2F" w:rsidRPr="001D311E" w:rsidRDefault="001253C5">
            <w:pPr>
              <w:spacing w:before="40"/>
              <w:rPr>
                <w:lang w:val="en-GB"/>
              </w:rPr>
            </w:pPr>
            <w:r w:rsidRPr="001D311E">
              <w:rPr>
                <w:color w:val="1B2A4A"/>
                <w:lang w:val="en-GB"/>
              </w:rPr>
              <w:t>Then, after the laugh: "The left panel isn't a failure of COSO or the Three Lines. They're well designed. It's what happens when the conditions that allow those frameworks to work are absent. And the conditions — that's what we're going to spend this session on."</w:t>
            </w:r>
          </w:p>
        </w:tc>
      </w:tr>
    </w:tbl>
    <w:p w:rsidR="00F52D2F" w:rsidRPr="001D311E" w:rsidRDefault="00F52D2F">
      <w:pPr>
        <w:spacing w:before="60"/>
        <w:rPr>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8160"/>
      </w:tblGrid>
      <w:tr w:rsidR="00F52D2F">
        <w:tc>
          <w:tcPr>
            <w:tcW w:w="1200" w:type="dxa"/>
            <w:tcBorders>
              <w:top w:val="single" w:sz="1" w:space="0" w:color="475569"/>
              <w:left w:val="single" w:sz="1" w:space="0" w:color="475569"/>
              <w:bottom w:val="single" w:sz="1" w:space="0" w:color="475569"/>
              <w:right w:val="single" w:sz="1" w:space="0" w:color="475569"/>
            </w:tcBorders>
            <w:shd w:val="clear" w:color="auto" w:fill="475569"/>
            <w:tcMar>
              <w:top w:w="100" w:type="dxa"/>
              <w:left w:w="100" w:type="dxa"/>
              <w:bottom w:w="100" w:type="dxa"/>
              <w:right w:w="100" w:type="dxa"/>
            </w:tcMar>
            <w:vAlign w:val="center"/>
          </w:tcPr>
          <w:p w:rsidR="00F52D2F" w:rsidRDefault="001253C5">
            <w:pPr>
              <w:jc w:val="center"/>
            </w:pPr>
            <w:r>
              <w:rPr>
                <w:b/>
                <w:bCs/>
                <w:color w:val="FFFFFF"/>
                <w:sz w:val="17"/>
                <w:szCs w:val="17"/>
              </w:rPr>
              <w:t>NOTE</w:t>
            </w:r>
          </w:p>
        </w:tc>
        <w:tc>
          <w:tcPr>
            <w:tcW w:w="8160" w:type="dxa"/>
            <w:tcBorders>
              <w:top w:val="single" w:sz="1" w:space="0" w:color="475569"/>
              <w:left w:val="single" w:sz="1" w:space="0" w:color="475569"/>
              <w:bottom w:val="single" w:sz="1" w:space="0" w:color="475569"/>
              <w:right w:val="single" w:sz="1" w:space="0" w:color="475569"/>
            </w:tcBorders>
            <w:shd w:val="clear" w:color="auto" w:fill="F8FAFC"/>
            <w:tcMar>
              <w:top w:w="100" w:type="dxa"/>
              <w:left w:w="160" w:type="dxa"/>
              <w:bottom w:w="100" w:type="dxa"/>
              <w:right w:w="120" w:type="dxa"/>
            </w:tcMar>
          </w:tcPr>
          <w:p w:rsidR="00F52D2F" w:rsidRDefault="001253C5">
            <w:r w:rsidRPr="001D311E">
              <w:rPr>
                <w:color w:val="1B2A4A"/>
                <w:lang w:val="en-GB"/>
              </w:rPr>
              <w:t xml:space="preserve">The key question for this opening — 'think of the last significant decision your organisation made and how much risk or compliance shaped it' — is the most important diagnostic question in the session. Ask it here, before the cartoon, and let the answers sit without resolution. </w:t>
            </w:r>
            <w:r>
              <w:rPr>
                <w:color w:val="1B2A4A"/>
              </w:rPr>
              <w:t xml:space="preserve">The </w:t>
            </w:r>
            <w:proofErr w:type="spellStart"/>
            <w:r>
              <w:rPr>
                <w:color w:val="1B2A4A"/>
              </w:rPr>
              <w:t>cartoon</w:t>
            </w:r>
            <w:proofErr w:type="spellEnd"/>
            <w:r>
              <w:rPr>
                <w:color w:val="1B2A4A"/>
              </w:rPr>
              <w:t xml:space="preserve"> </w:t>
            </w:r>
            <w:proofErr w:type="spellStart"/>
            <w:r>
              <w:rPr>
                <w:color w:val="1B2A4A"/>
              </w:rPr>
              <w:t>makes</w:t>
            </w:r>
            <w:proofErr w:type="spellEnd"/>
            <w:r>
              <w:rPr>
                <w:color w:val="1B2A4A"/>
              </w:rPr>
              <w:t xml:space="preserve"> the </w:t>
            </w:r>
            <w:proofErr w:type="spellStart"/>
            <w:r>
              <w:rPr>
                <w:color w:val="1B2A4A"/>
              </w:rPr>
              <w:t>honest</w:t>
            </w:r>
            <w:proofErr w:type="spellEnd"/>
            <w:r>
              <w:rPr>
                <w:color w:val="1B2A4A"/>
              </w:rPr>
              <w:t xml:space="preserve"> </w:t>
            </w:r>
            <w:proofErr w:type="spellStart"/>
            <w:r>
              <w:rPr>
                <w:color w:val="1B2A4A"/>
              </w:rPr>
              <w:t>answers</w:t>
            </w:r>
            <w:proofErr w:type="spellEnd"/>
            <w:r>
              <w:rPr>
                <w:color w:val="1B2A4A"/>
              </w:rPr>
              <w:t xml:space="preserve"> visible.</w:t>
            </w:r>
          </w:p>
        </w:tc>
      </w:tr>
    </w:tbl>
    <w:p w:rsidR="00A71DA2" w:rsidRDefault="00A71DA2">
      <w:pPr>
        <w:spacing w:before="120"/>
      </w:pPr>
    </w:p>
    <w:p w:rsidR="00A71DA2" w:rsidRDefault="00A71DA2">
      <w:r>
        <w:br w:type="page"/>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60"/>
        <w:gridCol w:w="1800"/>
        <w:gridCol w:w="1800"/>
      </w:tblGrid>
      <w:tr w:rsidR="00F52D2F">
        <w:tc>
          <w:tcPr>
            <w:tcW w:w="5760" w:type="dxa"/>
            <w:tcBorders>
              <w:top w:val="none" w:sz="0" w:space="0" w:color="FFFFFF"/>
              <w:left w:val="none" w:sz="0" w:space="0" w:color="FFFFFF"/>
              <w:bottom w:val="none" w:sz="0" w:space="0" w:color="FFFFFF"/>
              <w:right w:val="none" w:sz="0" w:space="0" w:color="FFFFFF"/>
            </w:tcBorders>
            <w:shd w:val="clear" w:color="auto" w:fill="0D7377"/>
            <w:tcMar>
              <w:top w:w="80" w:type="dxa"/>
              <w:left w:w="160" w:type="dxa"/>
              <w:bottom w:w="80" w:type="dxa"/>
              <w:right w:w="120" w:type="dxa"/>
            </w:tcMar>
          </w:tcPr>
          <w:p w:rsidR="00F52D2F" w:rsidRPr="001D311E" w:rsidRDefault="001253C5">
            <w:pPr>
              <w:rPr>
                <w:lang w:val="en-GB"/>
              </w:rPr>
            </w:pPr>
            <w:r w:rsidRPr="001D311E">
              <w:rPr>
                <w:b/>
                <w:bCs/>
                <w:color w:val="FFFFFF"/>
                <w:sz w:val="22"/>
                <w:szCs w:val="22"/>
                <w:lang w:val="en-GB"/>
              </w:rPr>
              <w:lastRenderedPageBreak/>
              <w:t>PROVOCATION 1 — Can You Tell the Difference?</w:t>
            </w:r>
          </w:p>
        </w:tc>
        <w:tc>
          <w:tcPr>
            <w:tcW w:w="1800" w:type="dxa"/>
            <w:tcBorders>
              <w:top w:val="none" w:sz="0" w:space="0" w:color="FFFFFF"/>
              <w:left w:val="none" w:sz="0" w:space="0" w:color="FFFFFF"/>
              <w:bottom w:val="none" w:sz="0" w:space="0" w:color="FFFFFF"/>
              <w:right w:val="none" w:sz="0" w:space="0" w:color="FFFFFF"/>
            </w:tcBorders>
            <w:shd w:val="clear" w:color="auto" w:fill="0A5B5E"/>
            <w:tcMar>
              <w:top w:w="80" w:type="dxa"/>
              <w:left w:w="120" w:type="dxa"/>
              <w:bottom w:w="80" w:type="dxa"/>
              <w:right w:w="120" w:type="dxa"/>
            </w:tcMar>
            <w:vAlign w:val="center"/>
          </w:tcPr>
          <w:p w:rsidR="00F52D2F" w:rsidRDefault="001253C5">
            <w:pPr>
              <w:jc w:val="center"/>
            </w:pPr>
            <w:r>
              <w:rPr>
                <w:color w:val="FFFFFF"/>
                <w:sz w:val="18"/>
                <w:szCs w:val="18"/>
              </w:rPr>
              <w:t>0:20 — 0:45</w:t>
            </w:r>
          </w:p>
        </w:tc>
        <w:tc>
          <w:tcPr>
            <w:tcW w:w="1800" w:type="dxa"/>
            <w:tcBorders>
              <w:top w:val="none" w:sz="0" w:space="0" w:color="FFFFFF"/>
              <w:left w:val="none" w:sz="0" w:space="0" w:color="FFFFFF"/>
              <w:bottom w:val="none" w:sz="0" w:space="0" w:color="FFFFFF"/>
              <w:right w:val="none" w:sz="0" w:space="0" w:color="FFFFFF"/>
            </w:tcBorders>
            <w:shd w:val="clear" w:color="auto" w:fill="084F52"/>
            <w:tcMar>
              <w:top w:w="80" w:type="dxa"/>
              <w:left w:w="120" w:type="dxa"/>
              <w:bottom w:w="80" w:type="dxa"/>
              <w:right w:w="120" w:type="dxa"/>
            </w:tcMar>
            <w:vAlign w:val="center"/>
          </w:tcPr>
          <w:p w:rsidR="00F52D2F" w:rsidRDefault="001253C5">
            <w:pPr>
              <w:jc w:val="center"/>
            </w:pPr>
            <w:r>
              <w:rPr>
                <w:color w:val="FFFFFF"/>
                <w:sz w:val="18"/>
                <w:szCs w:val="18"/>
              </w:rPr>
              <w:t>Slides 4–6</w:t>
            </w:r>
          </w:p>
        </w:tc>
      </w:tr>
    </w:tbl>
    <w:p w:rsidR="00F52D2F" w:rsidRDefault="00F52D2F">
      <w:pPr>
        <w:spacing w:before="80"/>
      </w:pPr>
    </w:p>
    <w:p w:rsidR="00F52D2F" w:rsidRDefault="001253C5">
      <w:pPr>
        <w:spacing w:before="200" w:after="60"/>
      </w:pPr>
      <w:proofErr w:type="spellStart"/>
      <w:r>
        <w:rPr>
          <w:b/>
          <w:bCs/>
          <w:color w:val="0D7377"/>
          <w:sz w:val="21"/>
          <w:szCs w:val="21"/>
        </w:rPr>
        <w:t>What</w:t>
      </w:r>
      <w:proofErr w:type="spellEnd"/>
      <w:r>
        <w:rPr>
          <w:b/>
          <w:bCs/>
          <w:color w:val="0D7377"/>
          <w:sz w:val="21"/>
          <w:szCs w:val="21"/>
        </w:rPr>
        <w:t xml:space="preserve"> </w:t>
      </w:r>
      <w:proofErr w:type="spellStart"/>
      <w:r>
        <w:rPr>
          <w:b/>
          <w:bCs/>
          <w:color w:val="0D7377"/>
          <w:sz w:val="21"/>
          <w:szCs w:val="21"/>
        </w:rPr>
        <w:t>this</w:t>
      </w:r>
      <w:proofErr w:type="spellEnd"/>
      <w:r>
        <w:rPr>
          <w:b/>
          <w:bCs/>
          <w:color w:val="0D7377"/>
          <w:sz w:val="21"/>
          <w:szCs w:val="21"/>
        </w:rPr>
        <w:t xml:space="preserve"> </w:t>
      </w:r>
      <w:proofErr w:type="spellStart"/>
      <w:r>
        <w:rPr>
          <w:b/>
          <w:bCs/>
          <w:color w:val="0D7377"/>
          <w:sz w:val="21"/>
          <w:szCs w:val="21"/>
        </w:rPr>
        <w:t>section</w:t>
      </w:r>
      <w:proofErr w:type="spellEnd"/>
      <w:r>
        <w:rPr>
          <w:b/>
          <w:bCs/>
          <w:color w:val="0D7377"/>
          <w:sz w:val="21"/>
          <w:szCs w:val="21"/>
        </w:rPr>
        <w:t xml:space="preserve"> is </w:t>
      </w:r>
      <w:proofErr w:type="spellStart"/>
      <w:r>
        <w:rPr>
          <w:b/>
          <w:bCs/>
          <w:color w:val="0D7377"/>
          <w:sz w:val="21"/>
          <w:szCs w:val="21"/>
        </w:rPr>
        <w:t>doing</w:t>
      </w:r>
      <w:proofErr w:type="spellEnd"/>
    </w:p>
    <w:p w:rsidR="00F52D2F" w:rsidRPr="001D311E" w:rsidRDefault="001253C5">
      <w:pPr>
        <w:spacing w:before="50" w:after="50"/>
        <w:rPr>
          <w:lang w:val="en-GB"/>
        </w:rPr>
      </w:pPr>
      <w:r w:rsidRPr="001D311E">
        <w:rPr>
          <w:lang w:val="en-GB"/>
        </w:rPr>
        <w:t xml:space="preserve">Creating visceral uncertainty about the most basic professional competence: can you tell the difference between real GRC and performed GRC? The AI reveal is not a technology argument. It is an argument about what professional value actually consists of when the </w:t>
      </w:r>
      <w:proofErr w:type="spellStart"/>
      <w:r w:rsidRPr="001D311E">
        <w:rPr>
          <w:lang w:val="en-GB"/>
        </w:rPr>
        <w:t>artifact</w:t>
      </w:r>
      <w:proofErr w:type="spellEnd"/>
      <w:r w:rsidRPr="001D311E">
        <w:rPr>
          <w:lang w:val="en-GB"/>
        </w:rPr>
        <w:t xml:space="preserve"> can be produced by anyone. This section should leave the room slightly uncomfortable and unable to immediately resolve the discomfort.</w:t>
      </w:r>
    </w:p>
    <w:p w:rsidR="00F52D2F" w:rsidRPr="001D311E" w:rsidRDefault="00F52D2F">
      <w:pPr>
        <w:spacing w:before="60"/>
        <w:rPr>
          <w:lang w:val="en-GB"/>
        </w:rPr>
      </w:pPr>
    </w:p>
    <w:p w:rsidR="00F52D2F" w:rsidRPr="001D311E" w:rsidRDefault="001253C5">
      <w:pPr>
        <w:spacing w:before="200" w:after="60"/>
        <w:rPr>
          <w:lang w:val="en-GB"/>
        </w:rPr>
      </w:pPr>
      <w:r w:rsidRPr="001D311E">
        <w:rPr>
          <w:b/>
          <w:bCs/>
          <w:color w:val="0D7377"/>
          <w:sz w:val="21"/>
          <w:szCs w:val="21"/>
          <w:lang w:val="en-GB"/>
        </w:rPr>
        <w:t xml:space="preserve">Key moves — The </w:t>
      </w:r>
      <w:proofErr w:type="spellStart"/>
      <w:r w:rsidRPr="001D311E">
        <w:rPr>
          <w:b/>
          <w:bCs/>
          <w:color w:val="0D7377"/>
          <w:sz w:val="21"/>
          <w:szCs w:val="21"/>
          <w:lang w:val="en-GB"/>
        </w:rPr>
        <w:t>Nexora</w:t>
      </w:r>
      <w:proofErr w:type="spellEnd"/>
      <w:r w:rsidRPr="001D311E">
        <w:rPr>
          <w:b/>
          <w:bCs/>
          <w:color w:val="0D7377"/>
          <w:sz w:val="21"/>
          <w:szCs w:val="21"/>
          <w:lang w:val="en-GB"/>
        </w:rPr>
        <w:t xml:space="preserve"> Document (Slide 4)</w:t>
      </w:r>
    </w:p>
    <w:p w:rsidR="00F52D2F" w:rsidRPr="001D311E" w:rsidRDefault="001253C5">
      <w:pPr>
        <w:pStyle w:val="Listeafsnit"/>
        <w:numPr>
          <w:ilvl w:val="0"/>
          <w:numId w:val="2"/>
        </w:numPr>
        <w:spacing w:before="36" w:after="36"/>
        <w:rPr>
          <w:lang w:val="en-GB"/>
        </w:rPr>
      </w:pPr>
      <w:r w:rsidRPr="001D311E">
        <w:rPr>
          <w:lang w:val="en-GB"/>
        </w:rPr>
        <w:t>One page on screen. Sixty seconds to read. No context. The document looks professional: document reference, CRO approval, version history, hybrid methodology, probability estimates, expected loss figures, confidence intervals. It is designed to pass a first reading by an experienced professional.</w:t>
      </w:r>
    </w:p>
    <w:p w:rsidR="00F52D2F" w:rsidRPr="001D311E" w:rsidRDefault="001253C5">
      <w:pPr>
        <w:pStyle w:val="Listeafsnit"/>
        <w:numPr>
          <w:ilvl w:val="0"/>
          <w:numId w:val="2"/>
        </w:numPr>
        <w:spacing w:before="36" w:after="36"/>
        <w:rPr>
          <w:lang w:val="en-GB"/>
        </w:rPr>
      </w:pPr>
      <w:r w:rsidRPr="001D311E">
        <w:rPr>
          <w:lang w:val="en-GB"/>
        </w:rPr>
        <w:t>First question before the reveal: if this landed on your desk as evidence of your organisation's risk management, what would you do with it? Take three or four responses. This tells you where their instincts are before the reveal changes them.</w:t>
      </w:r>
    </w:p>
    <w:p w:rsidR="00F52D2F" w:rsidRPr="00327FF7" w:rsidRDefault="001253C5" w:rsidP="00327FF7">
      <w:pPr>
        <w:pStyle w:val="Listeafsnit"/>
        <w:numPr>
          <w:ilvl w:val="0"/>
          <w:numId w:val="2"/>
        </w:numPr>
        <w:spacing w:before="36" w:after="36"/>
        <w:rPr>
          <w:lang w:val="en-GB"/>
        </w:rPr>
      </w:pPr>
      <w:r w:rsidRPr="001D311E">
        <w:rPr>
          <w:lang w:val="en-GB"/>
        </w:rPr>
        <w:t>The reveal: four minutes. AI with the company's annual report and a standard template. Let it sit. Five seconds minimum before the next question.</w:t>
      </w:r>
    </w:p>
    <w:p w:rsidR="00F52D2F" w:rsidRPr="00327FF7" w:rsidRDefault="001253C5">
      <w:pPr>
        <w:spacing w:before="200" w:after="60"/>
        <w:rPr>
          <w:lang w:val="en-GB"/>
        </w:rPr>
      </w:pPr>
      <w:r w:rsidRPr="001D311E">
        <w:rPr>
          <w:b/>
          <w:bCs/>
          <w:color w:val="0D7377"/>
          <w:sz w:val="21"/>
          <w:szCs w:val="21"/>
          <w:lang w:val="en-GB"/>
        </w:rPr>
        <w:t xml:space="preserve">Key moves — How Would You Know? </w:t>
      </w:r>
      <w:r w:rsidRPr="00327FF7">
        <w:rPr>
          <w:b/>
          <w:bCs/>
          <w:color w:val="0D7377"/>
          <w:sz w:val="21"/>
          <w:szCs w:val="21"/>
          <w:lang w:val="en-GB"/>
        </w:rPr>
        <w:t>(Slide 5)</w:t>
      </w:r>
    </w:p>
    <w:p w:rsidR="00F52D2F" w:rsidRPr="001D311E" w:rsidRDefault="001253C5">
      <w:pPr>
        <w:pStyle w:val="Listeafsnit"/>
        <w:numPr>
          <w:ilvl w:val="0"/>
          <w:numId w:val="2"/>
        </w:numPr>
        <w:spacing w:before="36" w:after="36"/>
        <w:rPr>
          <w:lang w:val="en-GB"/>
        </w:rPr>
      </w:pPr>
      <w:r w:rsidRPr="001D311E">
        <w:rPr>
          <w:lang w:val="en-GB"/>
        </w:rPr>
        <w:t>Three questions in sequence, each one harder. Could your audit committee tell the difference? Does it matter? If your organisation relied on this — where on the ladder are they?</w:t>
      </w:r>
    </w:p>
    <w:p w:rsidR="00F52D2F" w:rsidRPr="001D311E" w:rsidRDefault="001253C5">
      <w:pPr>
        <w:pStyle w:val="Listeafsnit"/>
        <w:numPr>
          <w:ilvl w:val="0"/>
          <w:numId w:val="2"/>
        </w:numPr>
        <w:spacing w:before="36" w:after="36"/>
        <w:rPr>
          <w:lang w:val="en-GB"/>
        </w:rPr>
      </w:pPr>
      <w:r w:rsidRPr="001D311E">
        <w:rPr>
          <w:lang w:val="en-GB"/>
        </w:rPr>
        <w:t>The second question is where the room will split. Let it split. Don't resolve it. 'Content is content' versus 'thinking is the point' is the most important argument in the session and the room is capable of having it without you.</w:t>
      </w:r>
    </w:p>
    <w:p w:rsidR="00F52D2F" w:rsidRPr="001D311E" w:rsidRDefault="001253C5">
      <w:pPr>
        <w:pStyle w:val="Listeafsnit"/>
        <w:numPr>
          <w:ilvl w:val="0"/>
          <w:numId w:val="2"/>
        </w:numPr>
        <w:spacing w:before="36" w:after="36"/>
        <w:rPr>
          <w:lang w:val="en-GB"/>
        </w:rPr>
      </w:pPr>
      <w:r w:rsidRPr="001D311E">
        <w:rPr>
          <w:lang w:val="en-GB"/>
        </w:rPr>
        <w:t xml:space="preserve">The professional identity argument: AI didn't create the </w:t>
      </w:r>
      <w:proofErr w:type="spellStart"/>
      <w:r w:rsidRPr="001D311E">
        <w:rPr>
          <w:lang w:val="en-GB"/>
        </w:rPr>
        <w:t>theater</w:t>
      </w:r>
      <w:proofErr w:type="spellEnd"/>
      <w:r w:rsidRPr="001D311E">
        <w:rPr>
          <w:lang w:val="en-GB"/>
        </w:rPr>
        <w:t xml:space="preserve"> problem — risk registers have been filled in mechanically for decades. AI made the </w:t>
      </w:r>
      <w:proofErr w:type="spellStart"/>
      <w:r w:rsidRPr="001D311E">
        <w:rPr>
          <w:lang w:val="en-GB"/>
        </w:rPr>
        <w:t>theater</w:t>
      </w:r>
      <w:proofErr w:type="spellEnd"/>
      <w:r w:rsidRPr="001D311E">
        <w:rPr>
          <w:lang w:val="en-GB"/>
        </w:rPr>
        <w:t xml:space="preserve"> indistinguishable from the substance. What remains? Judgment about whether the document reflects reality. Knowledge of specific organisational context. The relationships that surface what the system is actually doing. Courage to say something uncomfortable when document and reality diverge.</w:t>
      </w:r>
    </w:p>
    <w:p w:rsidR="00F52D2F" w:rsidRDefault="001253C5" w:rsidP="00327FF7">
      <w:pPr>
        <w:pStyle w:val="Listeafsnit"/>
        <w:numPr>
          <w:ilvl w:val="0"/>
          <w:numId w:val="2"/>
        </w:numPr>
        <w:spacing w:before="36" w:after="36"/>
      </w:pPr>
      <w:r w:rsidRPr="001D311E">
        <w:rPr>
          <w:lang w:val="en-GB"/>
        </w:rPr>
        <w:t xml:space="preserve">'Data is the witness. You are the judge.' If you cannot explain why the data matters today, in this organisation, with these people — you have already been replaced. </w:t>
      </w:r>
      <w:r>
        <w:t xml:space="preserve">Not by AI. By </w:t>
      </w:r>
      <w:proofErr w:type="spellStart"/>
      <w:r>
        <w:t>your</w:t>
      </w:r>
      <w:proofErr w:type="spellEnd"/>
      <w:r>
        <w:t xml:space="preserve"> </w:t>
      </w:r>
      <w:proofErr w:type="spellStart"/>
      <w:r>
        <w:t>own</w:t>
      </w:r>
      <w:proofErr w:type="spellEnd"/>
      <w:r>
        <w:t xml:space="preserve"> </w:t>
      </w:r>
      <w:proofErr w:type="spellStart"/>
      <w:r>
        <w:t>process</w:t>
      </w:r>
      <w:proofErr w:type="spellEnd"/>
      <w:r>
        <w:t>.</w:t>
      </w:r>
    </w:p>
    <w:p w:rsidR="00F52D2F" w:rsidRDefault="001253C5">
      <w:pPr>
        <w:spacing w:before="200" w:after="60"/>
      </w:pPr>
      <w:r>
        <w:rPr>
          <w:b/>
          <w:bCs/>
          <w:color w:val="0D7377"/>
          <w:sz w:val="21"/>
          <w:szCs w:val="21"/>
        </w:rPr>
        <w:t xml:space="preserve">Key </w:t>
      </w:r>
      <w:proofErr w:type="spellStart"/>
      <w:r>
        <w:rPr>
          <w:b/>
          <w:bCs/>
          <w:color w:val="0D7377"/>
          <w:sz w:val="21"/>
          <w:szCs w:val="21"/>
        </w:rPr>
        <w:t>moves</w:t>
      </w:r>
      <w:proofErr w:type="spellEnd"/>
      <w:r>
        <w:rPr>
          <w:b/>
          <w:bCs/>
          <w:color w:val="0D7377"/>
          <w:sz w:val="21"/>
          <w:szCs w:val="21"/>
        </w:rPr>
        <w:t xml:space="preserve"> — </w:t>
      </w:r>
      <w:proofErr w:type="spellStart"/>
      <w:r>
        <w:rPr>
          <w:b/>
          <w:bCs/>
          <w:color w:val="0D7377"/>
          <w:sz w:val="21"/>
          <w:szCs w:val="21"/>
        </w:rPr>
        <w:t>Ladder</w:t>
      </w:r>
      <w:proofErr w:type="spellEnd"/>
      <w:r>
        <w:rPr>
          <w:b/>
          <w:bCs/>
          <w:color w:val="0D7377"/>
          <w:sz w:val="21"/>
          <w:szCs w:val="21"/>
        </w:rPr>
        <w:t xml:space="preserve"> (Slide 6)</w:t>
      </w:r>
    </w:p>
    <w:p w:rsidR="00F52D2F" w:rsidRDefault="001253C5">
      <w:pPr>
        <w:pStyle w:val="Listeafsnit"/>
        <w:numPr>
          <w:ilvl w:val="0"/>
          <w:numId w:val="2"/>
        </w:numPr>
        <w:spacing w:before="36" w:after="36"/>
      </w:pPr>
      <w:r w:rsidRPr="001D311E">
        <w:rPr>
          <w:lang w:val="en-GB"/>
        </w:rPr>
        <w:t xml:space="preserve">First appearance. </w:t>
      </w:r>
      <w:proofErr w:type="spellStart"/>
      <w:r w:rsidRPr="001D311E">
        <w:rPr>
          <w:lang w:val="en-GB"/>
        </w:rPr>
        <w:t>Mindset</w:t>
      </w:r>
      <w:proofErr w:type="spellEnd"/>
      <w:r w:rsidRPr="001D311E">
        <w:rPr>
          <w:lang w:val="en-GB"/>
        </w:rPr>
        <w:t xml:space="preserve"> questions only — no labels, no metrics yet. Ask where their organisation sits. Note: are you answering for the whole organisation or for your specific function? </w:t>
      </w:r>
      <w:proofErr w:type="spellStart"/>
      <w:r>
        <w:t>Those</w:t>
      </w:r>
      <w:proofErr w:type="spellEnd"/>
      <w:r>
        <w:t xml:space="preserve"> </w:t>
      </w:r>
      <w:proofErr w:type="spellStart"/>
      <w:r>
        <w:t>are</w:t>
      </w:r>
      <w:proofErr w:type="spellEnd"/>
      <w:r>
        <w:t xml:space="preserve"> </w:t>
      </w:r>
      <w:proofErr w:type="spellStart"/>
      <w:r>
        <w:t>often</w:t>
      </w:r>
      <w:proofErr w:type="spellEnd"/>
      <w:r>
        <w:t xml:space="preserve"> </w:t>
      </w:r>
      <w:proofErr w:type="spellStart"/>
      <w:r>
        <w:t>different</w:t>
      </w:r>
      <w:proofErr w:type="spellEnd"/>
      <w:r>
        <w:t xml:space="preserve"> </w:t>
      </w:r>
      <w:proofErr w:type="spellStart"/>
      <w:r>
        <w:t>numbers</w:t>
      </w:r>
      <w:proofErr w:type="spellEnd"/>
      <w:r>
        <w:t>.</w:t>
      </w:r>
    </w:p>
    <w:p w:rsidR="00F52D2F" w:rsidRDefault="001253C5">
      <w:pPr>
        <w:pStyle w:val="Listeafsnit"/>
        <w:numPr>
          <w:ilvl w:val="0"/>
          <w:numId w:val="2"/>
        </w:numPr>
        <w:spacing w:before="36" w:after="36"/>
      </w:pPr>
      <w:r w:rsidRPr="001D311E">
        <w:rPr>
          <w:lang w:val="en-GB"/>
        </w:rPr>
        <w:t xml:space="preserve">'An organisation that relies on that document without the thinking behind it — where are they?' </w:t>
      </w:r>
      <w:r>
        <w:t xml:space="preserve">Let the </w:t>
      </w:r>
      <w:proofErr w:type="spellStart"/>
      <w:r>
        <w:t>room</w:t>
      </w:r>
      <w:proofErr w:type="spellEnd"/>
      <w:r>
        <w:t xml:space="preserve"> </w:t>
      </w:r>
      <w:proofErr w:type="spellStart"/>
      <w:r>
        <w:t>place</w:t>
      </w:r>
      <w:proofErr w:type="spellEnd"/>
      <w:r>
        <w:t xml:space="preserve"> it, not </w:t>
      </w:r>
      <w:proofErr w:type="spellStart"/>
      <w:r>
        <w:t>you</w:t>
      </w:r>
      <w:proofErr w:type="spellEnd"/>
      <w:r>
        <w:t>.</w:t>
      </w:r>
    </w:p>
    <w:p w:rsidR="00F52D2F" w:rsidRDefault="00F52D2F">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8160"/>
      </w:tblGrid>
      <w:tr w:rsidR="00F52D2F" w:rsidRPr="00377C58">
        <w:tc>
          <w:tcPr>
            <w:tcW w:w="1200" w:type="dxa"/>
            <w:tcBorders>
              <w:top w:val="single" w:sz="1" w:space="0" w:color="0D7377"/>
              <w:left w:val="single" w:sz="1" w:space="0" w:color="0D7377"/>
              <w:bottom w:val="single" w:sz="1" w:space="0" w:color="0D7377"/>
              <w:right w:val="single" w:sz="1" w:space="0" w:color="0D7377"/>
            </w:tcBorders>
            <w:shd w:val="clear" w:color="auto" w:fill="0D7377"/>
            <w:tcMar>
              <w:top w:w="100" w:type="dxa"/>
              <w:left w:w="100" w:type="dxa"/>
              <w:bottom w:w="100" w:type="dxa"/>
              <w:right w:w="100" w:type="dxa"/>
            </w:tcMar>
            <w:vAlign w:val="center"/>
          </w:tcPr>
          <w:p w:rsidR="00F52D2F" w:rsidRDefault="001253C5">
            <w:pPr>
              <w:jc w:val="center"/>
            </w:pPr>
            <w:r>
              <w:rPr>
                <w:b/>
                <w:bCs/>
                <w:color w:val="FFFFFF"/>
                <w:sz w:val="17"/>
                <w:szCs w:val="17"/>
              </w:rPr>
              <w:t>QUESTION</w:t>
            </w:r>
          </w:p>
        </w:tc>
        <w:tc>
          <w:tcPr>
            <w:tcW w:w="8160" w:type="dxa"/>
            <w:tcBorders>
              <w:top w:val="single" w:sz="1" w:space="0" w:color="0D7377"/>
              <w:left w:val="single" w:sz="1" w:space="0" w:color="0D7377"/>
              <w:bottom w:val="single" w:sz="1" w:space="0" w:color="0D7377"/>
              <w:right w:val="single" w:sz="1" w:space="0" w:color="0D7377"/>
            </w:tcBorders>
            <w:shd w:val="clear" w:color="auto" w:fill="F8FAFC"/>
            <w:tcMar>
              <w:top w:w="100" w:type="dxa"/>
              <w:left w:w="160" w:type="dxa"/>
              <w:bottom w:w="100" w:type="dxa"/>
              <w:right w:w="120" w:type="dxa"/>
            </w:tcMar>
          </w:tcPr>
          <w:p w:rsidR="00F52D2F" w:rsidRPr="001D311E" w:rsidRDefault="001253C5">
            <w:pPr>
              <w:rPr>
                <w:lang w:val="en-GB"/>
              </w:rPr>
            </w:pPr>
            <w:r w:rsidRPr="001D311E">
              <w:rPr>
                <w:color w:val="1B2A4A"/>
                <w:lang w:val="en-GB"/>
              </w:rPr>
              <w:t>"Could your audit committee tell the difference between that document and one your team spent two weeks producing?"</w:t>
            </w:r>
          </w:p>
          <w:p w:rsidR="00F52D2F" w:rsidRPr="001D311E" w:rsidRDefault="001253C5">
            <w:pPr>
              <w:spacing w:before="40"/>
              <w:rPr>
                <w:lang w:val="en-GB"/>
              </w:rPr>
            </w:pPr>
            <w:r w:rsidRPr="001D311E">
              <w:rPr>
                <w:color w:val="1B2A4A"/>
                <w:lang w:val="en-GB"/>
              </w:rPr>
              <w:t>"Does it matter whether they can?"</w:t>
            </w:r>
          </w:p>
          <w:p w:rsidR="00F52D2F" w:rsidRPr="001D311E" w:rsidRDefault="001253C5">
            <w:pPr>
              <w:spacing w:before="40"/>
              <w:rPr>
                <w:lang w:val="en-GB"/>
              </w:rPr>
            </w:pPr>
            <w:r w:rsidRPr="001D311E">
              <w:rPr>
                <w:color w:val="1B2A4A"/>
                <w:lang w:val="en-GB"/>
              </w:rPr>
              <w:t>"If your organisation relied on that document to make a risk decision — where on the ladder are they?"</w:t>
            </w:r>
          </w:p>
          <w:p w:rsidR="00F52D2F" w:rsidRPr="001D311E" w:rsidRDefault="001253C5">
            <w:pPr>
              <w:spacing w:before="40"/>
              <w:rPr>
                <w:lang w:val="en-GB"/>
              </w:rPr>
            </w:pPr>
            <w:r w:rsidRPr="001D311E">
              <w:rPr>
                <w:color w:val="1B2A4A"/>
                <w:lang w:val="en-GB"/>
              </w:rPr>
              <w:t>What you're listening for: the second question will generate genuine disagreement. Let it. The third question is where the ladder does its first real work.</w:t>
            </w:r>
          </w:p>
        </w:tc>
      </w:tr>
    </w:tbl>
    <w:p w:rsidR="00F52D2F" w:rsidRPr="001D311E" w:rsidRDefault="00F52D2F">
      <w:pPr>
        <w:spacing w:before="60"/>
        <w:rPr>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8160"/>
      </w:tblGrid>
      <w:tr w:rsidR="00F52D2F" w:rsidRPr="00377C58">
        <w:tc>
          <w:tcPr>
            <w:tcW w:w="1200" w:type="dxa"/>
            <w:tcBorders>
              <w:top w:val="single" w:sz="1" w:space="0" w:color="B91C1C"/>
              <w:left w:val="single" w:sz="1" w:space="0" w:color="B91C1C"/>
              <w:bottom w:val="single" w:sz="1" w:space="0" w:color="B91C1C"/>
              <w:right w:val="single" w:sz="1" w:space="0" w:color="B91C1C"/>
            </w:tcBorders>
            <w:shd w:val="clear" w:color="auto" w:fill="B91C1C"/>
            <w:tcMar>
              <w:top w:w="100" w:type="dxa"/>
              <w:left w:w="100" w:type="dxa"/>
              <w:bottom w:w="100" w:type="dxa"/>
              <w:right w:w="100" w:type="dxa"/>
            </w:tcMar>
            <w:vAlign w:val="center"/>
          </w:tcPr>
          <w:p w:rsidR="00F52D2F" w:rsidRDefault="001253C5">
            <w:pPr>
              <w:jc w:val="center"/>
            </w:pPr>
            <w:r>
              <w:rPr>
                <w:b/>
                <w:bCs/>
                <w:color w:val="FFFFFF"/>
                <w:sz w:val="17"/>
                <w:szCs w:val="17"/>
              </w:rPr>
              <w:t>WATCH-OUT</w:t>
            </w:r>
          </w:p>
        </w:tc>
        <w:tc>
          <w:tcPr>
            <w:tcW w:w="8160" w:type="dxa"/>
            <w:tcBorders>
              <w:top w:val="single" w:sz="1" w:space="0" w:color="B91C1C"/>
              <w:left w:val="single" w:sz="1" w:space="0" w:color="B91C1C"/>
              <w:bottom w:val="single" w:sz="1" w:space="0" w:color="B91C1C"/>
              <w:right w:val="single" w:sz="1" w:space="0" w:color="B91C1C"/>
            </w:tcBorders>
            <w:shd w:val="clear" w:color="auto" w:fill="F8FAFC"/>
            <w:tcMar>
              <w:top w:w="100" w:type="dxa"/>
              <w:left w:w="160" w:type="dxa"/>
              <w:bottom w:w="100" w:type="dxa"/>
              <w:right w:w="120" w:type="dxa"/>
            </w:tcMar>
          </w:tcPr>
          <w:p w:rsidR="00F52D2F" w:rsidRPr="001D311E" w:rsidRDefault="001253C5">
            <w:pPr>
              <w:rPr>
                <w:lang w:val="en-GB"/>
              </w:rPr>
            </w:pPr>
            <w:r w:rsidRPr="001D311E">
              <w:rPr>
                <w:color w:val="1B2A4A"/>
                <w:lang w:val="en-GB"/>
              </w:rPr>
              <w:t xml:space="preserve">The AI discussion can veer into technology policy — regulation of AI, reliability, hallucinations. Redirect immediately: 'The technology question is real but it's not what I'm asking. I'm asking what it means for your professional role when the </w:t>
            </w:r>
            <w:proofErr w:type="spellStart"/>
            <w:r w:rsidRPr="001D311E">
              <w:rPr>
                <w:color w:val="1B2A4A"/>
                <w:lang w:val="en-GB"/>
              </w:rPr>
              <w:t>artifact</w:t>
            </w:r>
            <w:proofErr w:type="spellEnd"/>
            <w:r w:rsidRPr="001D311E">
              <w:rPr>
                <w:color w:val="1B2A4A"/>
                <w:lang w:val="en-GB"/>
              </w:rPr>
              <w:t xml:space="preserve"> can be produced in four minutes. That's the question.' Keep it personal and professional, not technical.</w:t>
            </w:r>
          </w:p>
        </w:tc>
      </w:tr>
    </w:tbl>
    <w:p w:rsidR="0018200C" w:rsidRDefault="0018200C">
      <w:pPr>
        <w:spacing w:before="120"/>
        <w:rPr>
          <w:lang w:val="en-GB"/>
        </w:rPr>
      </w:pPr>
    </w:p>
    <w:p w:rsidR="00A71DA2" w:rsidRDefault="00A71DA2">
      <w:pPr>
        <w:rPr>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60"/>
        <w:gridCol w:w="1800"/>
        <w:gridCol w:w="1800"/>
      </w:tblGrid>
      <w:tr w:rsidR="00F52D2F">
        <w:tc>
          <w:tcPr>
            <w:tcW w:w="5760" w:type="dxa"/>
            <w:tcBorders>
              <w:top w:val="none" w:sz="0" w:space="0" w:color="FFFFFF"/>
              <w:left w:val="none" w:sz="0" w:space="0" w:color="FFFFFF"/>
              <w:bottom w:val="none" w:sz="0" w:space="0" w:color="FFFFFF"/>
              <w:right w:val="none" w:sz="0" w:space="0" w:color="FFFFFF"/>
            </w:tcBorders>
            <w:shd w:val="clear" w:color="auto" w:fill="0D7377"/>
            <w:tcMar>
              <w:top w:w="80" w:type="dxa"/>
              <w:left w:w="160" w:type="dxa"/>
              <w:bottom w:w="80" w:type="dxa"/>
              <w:right w:w="120" w:type="dxa"/>
            </w:tcMar>
          </w:tcPr>
          <w:p w:rsidR="00F52D2F" w:rsidRPr="001D311E" w:rsidRDefault="001253C5">
            <w:pPr>
              <w:rPr>
                <w:lang w:val="en-GB"/>
              </w:rPr>
            </w:pPr>
            <w:r w:rsidRPr="001D311E">
              <w:rPr>
                <w:b/>
                <w:bCs/>
                <w:color w:val="FFFFFF"/>
                <w:sz w:val="22"/>
                <w:szCs w:val="22"/>
                <w:lang w:val="en-GB"/>
              </w:rPr>
              <w:t>PROVOCATION 2 — Would It Have Happened Anyway?</w:t>
            </w:r>
          </w:p>
        </w:tc>
        <w:tc>
          <w:tcPr>
            <w:tcW w:w="1800" w:type="dxa"/>
            <w:tcBorders>
              <w:top w:val="none" w:sz="0" w:space="0" w:color="FFFFFF"/>
              <w:left w:val="none" w:sz="0" w:space="0" w:color="FFFFFF"/>
              <w:bottom w:val="none" w:sz="0" w:space="0" w:color="FFFFFF"/>
              <w:right w:val="none" w:sz="0" w:space="0" w:color="FFFFFF"/>
            </w:tcBorders>
            <w:shd w:val="clear" w:color="auto" w:fill="0A5B5E"/>
            <w:tcMar>
              <w:top w:w="80" w:type="dxa"/>
              <w:left w:w="120" w:type="dxa"/>
              <w:bottom w:w="80" w:type="dxa"/>
              <w:right w:w="120" w:type="dxa"/>
            </w:tcMar>
            <w:vAlign w:val="center"/>
          </w:tcPr>
          <w:p w:rsidR="00F52D2F" w:rsidRDefault="001253C5">
            <w:pPr>
              <w:jc w:val="center"/>
            </w:pPr>
            <w:r>
              <w:rPr>
                <w:color w:val="FFFFFF"/>
                <w:sz w:val="18"/>
                <w:szCs w:val="18"/>
              </w:rPr>
              <w:t>0:45 — 1:05</w:t>
            </w:r>
          </w:p>
        </w:tc>
        <w:tc>
          <w:tcPr>
            <w:tcW w:w="1800" w:type="dxa"/>
            <w:tcBorders>
              <w:top w:val="none" w:sz="0" w:space="0" w:color="FFFFFF"/>
              <w:left w:val="none" w:sz="0" w:space="0" w:color="FFFFFF"/>
              <w:bottom w:val="none" w:sz="0" w:space="0" w:color="FFFFFF"/>
              <w:right w:val="none" w:sz="0" w:space="0" w:color="FFFFFF"/>
            </w:tcBorders>
            <w:shd w:val="clear" w:color="auto" w:fill="084F52"/>
            <w:tcMar>
              <w:top w:w="80" w:type="dxa"/>
              <w:left w:w="120" w:type="dxa"/>
              <w:bottom w:w="80" w:type="dxa"/>
              <w:right w:w="120" w:type="dxa"/>
            </w:tcMar>
            <w:vAlign w:val="center"/>
          </w:tcPr>
          <w:p w:rsidR="00F52D2F" w:rsidRDefault="001253C5">
            <w:pPr>
              <w:jc w:val="center"/>
            </w:pPr>
            <w:r>
              <w:rPr>
                <w:color w:val="FFFFFF"/>
                <w:sz w:val="18"/>
                <w:szCs w:val="18"/>
              </w:rPr>
              <w:t>Slides 7–8</w:t>
            </w:r>
          </w:p>
        </w:tc>
      </w:tr>
    </w:tbl>
    <w:p w:rsidR="00F52D2F" w:rsidRDefault="00F52D2F">
      <w:pPr>
        <w:spacing w:before="80"/>
      </w:pPr>
    </w:p>
    <w:p w:rsidR="00F52D2F" w:rsidRDefault="001253C5">
      <w:pPr>
        <w:spacing w:before="200" w:after="60"/>
      </w:pPr>
      <w:proofErr w:type="spellStart"/>
      <w:r>
        <w:rPr>
          <w:b/>
          <w:bCs/>
          <w:color w:val="0D7377"/>
          <w:sz w:val="21"/>
          <w:szCs w:val="21"/>
        </w:rPr>
        <w:t>What</w:t>
      </w:r>
      <w:proofErr w:type="spellEnd"/>
      <w:r>
        <w:rPr>
          <w:b/>
          <w:bCs/>
          <w:color w:val="0D7377"/>
          <w:sz w:val="21"/>
          <w:szCs w:val="21"/>
        </w:rPr>
        <w:t xml:space="preserve"> </w:t>
      </w:r>
      <w:proofErr w:type="spellStart"/>
      <w:r>
        <w:rPr>
          <w:b/>
          <w:bCs/>
          <w:color w:val="0D7377"/>
          <w:sz w:val="21"/>
          <w:szCs w:val="21"/>
        </w:rPr>
        <w:t>this</w:t>
      </w:r>
      <w:proofErr w:type="spellEnd"/>
      <w:r>
        <w:rPr>
          <w:b/>
          <w:bCs/>
          <w:color w:val="0D7377"/>
          <w:sz w:val="21"/>
          <w:szCs w:val="21"/>
        </w:rPr>
        <w:t xml:space="preserve"> </w:t>
      </w:r>
      <w:proofErr w:type="spellStart"/>
      <w:r>
        <w:rPr>
          <w:b/>
          <w:bCs/>
          <w:color w:val="0D7377"/>
          <w:sz w:val="21"/>
          <w:szCs w:val="21"/>
        </w:rPr>
        <w:t>section</w:t>
      </w:r>
      <w:proofErr w:type="spellEnd"/>
      <w:r>
        <w:rPr>
          <w:b/>
          <w:bCs/>
          <w:color w:val="0D7377"/>
          <w:sz w:val="21"/>
          <w:szCs w:val="21"/>
        </w:rPr>
        <w:t xml:space="preserve"> is </w:t>
      </w:r>
      <w:proofErr w:type="spellStart"/>
      <w:r>
        <w:rPr>
          <w:b/>
          <w:bCs/>
          <w:color w:val="0D7377"/>
          <w:sz w:val="21"/>
          <w:szCs w:val="21"/>
        </w:rPr>
        <w:t>doing</w:t>
      </w:r>
      <w:proofErr w:type="spellEnd"/>
    </w:p>
    <w:p w:rsidR="00F52D2F" w:rsidRPr="001D311E" w:rsidRDefault="001253C5">
      <w:pPr>
        <w:spacing w:before="50" w:after="50"/>
        <w:rPr>
          <w:lang w:val="en-GB"/>
        </w:rPr>
      </w:pPr>
      <w:r w:rsidRPr="001D311E">
        <w:rPr>
          <w:lang w:val="en-GB"/>
        </w:rPr>
        <w:t xml:space="preserve">Providing a structural explanation for why the cartoon happens in so many organisations. Three interconnected arguments: the INUS cause logic (ERM is necessary but conditional), the Rasmussen diagram (GRC 1.0 was built for the wrong risk territory), and the </w:t>
      </w:r>
      <w:proofErr w:type="spellStart"/>
      <w:r w:rsidRPr="001D311E">
        <w:rPr>
          <w:lang w:val="en-GB"/>
        </w:rPr>
        <w:t>gray</w:t>
      </w:r>
      <w:proofErr w:type="spellEnd"/>
      <w:r w:rsidRPr="001D311E">
        <w:rPr>
          <w:lang w:val="en-GB"/>
        </w:rPr>
        <w:t xml:space="preserve"> rhino (the most costly failures are visible risks nobody acts on, not invisible surprises). Together these explain why having the framework is not enough — the conditions matter more than the structure.</w:t>
      </w:r>
    </w:p>
    <w:p w:rsidR="00F52D2F" w:rsidRPr="001D311E" w:rsidRDefault="00F52D2F">
      <w:pPr>
        <w:spacing w:before="60"/>
        <w:rPr>
          <w:lang w:val="en-GB"/>
        </w:rPr>
      </w:pPr>
    </w:p>
    <w:p w:rsidR="00F52D2F" w:rsidRDefault="001253C5">
      <w:pPr>
        <w:spacing w:before="200" w:after="60"/>
      </w:pPr>
      <w:r>
        <w:rPr>
          <w:b/>
          <w:bCs/>
          <w:color w:val="0D7377"/>
          <w:sz w:val="21"/>
          <w:szCs w:val="21"/>
        </w:rPr>
        <w:t xml:space="preserve">Key </w:t>
      </w:r>
      <w:proofErr w:type="spellStart"/>
      <w:r>
        <w:rPr>
          <w:b/>
          <w:bCs/>
          <w:color w:val="0D7377"/>
          <w:sz w:val="21"/>
          <w:szCs w:val="21"/>
        </w:rPr>
        <w:t>moves</w:t>
      </w:r>
      <w:proofErr w:type="spellEnd"/>
      <w:r>
        <w:rPr>
          <w:b/>
          <w:bCs/>
          <w:color w:val="0D7377"/>
          <w:sz w:val="21"/>
          <w:szCs w:val="21"/>
        </w:rPr>
        <w:t xml:space="preserve"> — Rasmussen (Slide 7)</w:t>
      </w:r>
    </w:p>
    <w:p w:rsidR="00F52D2F" w:rsidRPr="001D311E" w:rsidRDefault="001253C5">
      <w:pPr>
        <w:pStyle w:val="Listeafsnit"/>
        <w:numPr>
          <w:ilvl w:val="0"/>
          <w:numId w:val="2"/>
        </w:numPr>
        <w:spacing w:before="36" w:after="36"/>
        <w:rPr>
          <w:lang w:val="en-GB"/>
        </w:rPr>
      </w:pPr>
      <w:r w:rsidRPr="001D311E">
        <w:rPr>
          <w:lang w:val="en-GB"/>
        </w:rPr>
        <w:t>Rasmussen: three risk management strategies, three territories. Empirical — frequent, small-scale, loosely coupled. Heuristics, statistical analysis, standard controls. Evolutionary — major accidents emerging from how parts of a system interact over time. Analytical — large-scale failures in tightly coupled systems where failures cascade unpredictably.</w:t>
      </w:r>
    </w:p>
    <w:p w:rsidR="00F52D2F" w:rsidRDefault="001253C5">
      <w:pPr>
        <w:pStyle w:val="Listeafsnit"/>
        <w:numPr>
          <w:ilvl w:val="0"/>
          <w:numId w:val="2"/>
        </w:numPr>
        <w:spacing w:before="36" w:after="36"/>
      </w:pPr>
      <w:r w:rsidRPr="001D311E">
        <w:rPr>
          <w:lang w:val="en-GB"/>
        </w:rPr>
        <w:t xml:space="preserve">GRC 1.0 was built for the empirical quadrant. It is excellent for what it was designed for. The problem: most of the significant risks facing your students' organisations now live in the evolutionary and analytical territory. </w:t>
      </w:r>
      <w:r>
        <w:t xml:space="preserve">The frameworks </w:t>
      </w:r>
      <w:proofErr w:type="spellStart"/>
      <w:r>
        <w:t>were</w:t>
      </w:r>
      <w:proofErr w:type="spellEnd"/>
      <w:r>
        <w:t xml:space="preserve"> not </w:t>
      </w:r>
      <w:proofErr w:type="spellStart"/>
      <w:r>
        <w:t>built</w:t>
      </w:r>
      <w:proofErr w:type="spellEnd"/>
      <w:r>
        <w:t xml:space="preserve"> for </w:t>
      </w:r>
      <w:proofErr w:type="spellStart"/>
      <w:r>
        <w:t>that</w:t>
      </w:r>
      <w:proofErr w:type="spellEnd"/>
      <w:r>
        <w:t xml:space="preserve"> territory.</w:t>
      </w:r>
    </w:p>
    <w:p w:rsidR="00F52D2F" w:rsidRPr="001D311E" w:rsidRDefault="001253C5">
      <w:pPr>
        <w:pStyle w:val="Listeafsnit"/>
        <w:numPr>
          <w:ilvl w:val="0"/>
          <w:numId w:val="2"/>
        </w:numPr>
        <w:spacing w:before="36" w:after="36"/>
        <w:rPr>
          <w:lang w:val="en-GB"/>
        </w:rPr>
      </w:pPr>
      <w:r w:rsidRPr="001D311E">
        <w:rPr>
          <w:lang w:val="en-GB"/>
        </w:rPr>
        <w:t>The INUS framing — conversational, not academic: ERM is insufficient on its own to produce good decisions. But it is non-redundant when the conditions are right — culture, leadership maturity, genuine integration. Remove it and you are less likely to reach the sufficient condition. The question is not whether ERM is valuable in theory but whether your organisation has created the conditions that allow it to be valuable in practice.</w:t>
      </w:r>
    </w:p>
    <w:p w:rsidR="00F52D2F" w:rsidRPr="001D311E" w:rsidRDefault="00F52D2F">
      <w:pPr>
        <w:spacing w:before="60"/>
        <w:rPr>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8160"/>
      </w:tblGrid>
      <w:tr w:rsidR="00F52D2F" w:rsidRPr="00377C58">
        <w:tc>
          <w:tcPr>
            <w:tcW w:w="1200" w:type="dxa"/>
            <w:tcBorders>
              <w:top w:val="single" w:sz="1" w:space="0" w:color="0D7377"/>
              <w:left w:val="single" w:sz="1" w:space="0" w:color="0D7377"/>
              <w:bottom w:val="single" w:sz="1" w:space="0" w:color="0D7377"/>
              <w:right w:val="single" w:sz="1" w:space="0" w:color="0D7377"/>
            </w:tcBorders>
            <w:shd w:val="clear" w:color="auto" w:fill="0D7377"/>
            <w:tcMar>
              <w:top w:w="100" w:type="dxa"/>
              <w:left w:w="100" w:type="dxa"/>
              <w:bottom w:w="100" w:type="dxa"/>
              <w:right w:w="100" w:type="dxa"/>
            </w:tcMar>
            <w:vAlign w:val="center"/>
          </w:tcPr>
          <w:p w:rsidR="00F52D2F" w:rsidRDefault="001253C5">
            <w:pPr>
              <w:jc w:val="center"/>
            </w:pPr>
            <w:r>
              <w:rPr>
                <w:b/>
                <w:bCs/>
                <w:color w:val="FFFFFF"/>
                <w:sz w:val="17"/>
                <w:szCs w:val="17"/>
              </w:rPr>
              <w:t>QUESTION</w:t>
            </w:r>
          </w:p>
        </w:tc>
        <w:tc>
          <w:tcPr>
            <w:tcW w:w="8160" w:type="dxa"/>
            <w:tcBorders>
              <w:top w:val="single" w:sz="1" w:space="0" w:color="0D7377"/>
              <w:left w:val="single" w:sz="1" w:space="0" w:color="0D7377"/>
              <w:bottom w:val="single" w:sz="1" w:space="0" w:color="0D7377"/>
              <w:right w:val="single" w:sz="1" w:space="0" w:color="0D7377"/>
            </w:tcBorders>
            <w:shd w:val="clear" w:color="auto" w:fill="F8FAFC"/>
            <w:tcMar>
              <w:top w:w="100" w:type="dxa"/>
              <w:left w:w="160" w:type="dxa"/>
              <w:bottom w:w="100" w:type="dxa"/>
              <w:right w:w="120" w:type="dxa"/>
            </w:tcMar>
          </w:tcPr>
          <w:p w:rsidR="00F52D2F" w:rsidRPr="001D311E" w:rsidRDefault="001253C5">
            <w:pPr>
              <w:rPr>
                <w:lang w:val="en-GB"/>
              </w:rPr>
            </w:pPr>
            <w:r w:rsidRPr="001D311E">
              <w:rPr>
                <w:color w:val="1B2A4A"/>
                <w:lang w:val="en-GB"/>
              </w:rPr>
              <w:t>"Where do your organisation's most significant risks actually live on this diagram? Not the ones in your risk register — the ones you're genuinely worried about."</w:t>
            </w:r>
          </w:p>
          <w:p w:rsidR="00F52D2F" w:rsidRPr="001D311E" w:rsidRDefault="00F52D2F">
            <w:pPr>
              <w:spacing w:before="40"/>
              <w:rPr>
                <w:lang w:val="en-GB"/>
              </w:rPr>
            </w:pPr>
          </w:p>
          <w:p w:rsidR="00F52D2F" w:rsidRPr="001D311E" w:rsidRDefault="001253C5">
            <w:pPr>
              <w:spacing w:before="40"/>
              <w:rPr>
                <w:lang w:val="en-GB"/>
              </w:rPr>
            </w:pPr>
            <w:r w:rsidRPr="001D311E">
              <w:rPr>
                <w:color w:val="1B2A4A"/>
                <w:lang w:val="en-GB"/>
              </w:rPr>
              <w:t>What you're listening for: most practitioners will place their significant risks in the evolutionary or analytical territory, which immediately reveals the mismatch between their risk management framework and the risks they're actually managing.</w:t>
            </w:r>
          </w:p>
        </w:tc>
      </w:tr>
    </w:tbl>
    <w:p w:rsidR="00F52D2F" w:rsidRPr="001D311E" w:rsidRDefault="00F52D2F">
      <w:pPr>
        <w:spacing w:before="60"/>
        <w:rPr>
          <w:lang w:val="en-GB"/>
        </w:rPr>
      </w:pPr>
    </w:p>
    <w:p w:rsidR="00F52D2F" w:rsidRPr="001D311E" w:rsidRDefault="001253C5">
      <w:pPr>
        <w:spacing w:before="200" w:after="60"/>
        <w:rPr>
          <w:lang w:val="en-GB"/>
        </w:rPr>
      </w:pPr>
      <w:r w:rsidRPr="001D311E">
        <w:rPr>
          <w:b/>
          <w:bCs/>
          <w:color w:val="0D7377"/>
          <w:sz w:val="21"/>
          <w:szCs w:val="21"/>
          <w:lang w:val="en-GB"/>
        </w:rPr>
        <w:t xml:space="preserve">Key moves — </w:t>
      </w:r>
      <w:proofErr w:type="spellStart"/>
      <w:r w:rsidRPr="001D311E">
        <w:rPr>
          <w:b/>
          <w:bCs/>
          <w:color w:val="0D7377"/>
          <w:sz w:val="21"/>
          <w:szCs w:val="21"/>
          <w:lang w:val="en-GB"/>
        </w:rPr>
        <w:t>Gray</w:t>
      </w:r>
      <w:proofErr w:type="spellEnd"/>
      <w:r w:rsidRPr="001D311E">
        <w:rPr>
          <w:b/>
          <w:bCs/>
          <w:color w:val="0D7377"/>
          <w:sz w:val="21"/>
          <w:szCs w:val="21"/>
          <w:lang w:val="en-GB"/>
        </w:rPr>
        <w:t xml:space="preserve"> Rhino (Slide 8)</w:t>
      </w:r>
    </w:p>
    <w:p w:rsidR="00F52D2F" w:rsidRDefault="001253C5">
      <w:pPr>
        <w:pStyle w:val="Listeafsnit"/>
        <w:numPr>
          <w:ilvl w:val="0"/>
          <w:numId w:val="2"/>
        </w:numPr>
        <w:spacing w:before="36" w:after="36"/>
      </w:pPr>
      <w:r w:rsidRPr="001D311E">
        <w:rPr>
          <w:lang w:val="en-GB"/>
        </w:rPr>
        <w:t xml:space="preserve">Not the black swan. The black swan removes accountability — nobody could have known. The </w:t>
      </w:r>
      <w:proofErr w:type="spellStart"/>
      <w:r w:rsidRPr="001D311E">
        <w:rPr>
          <w:lang w:val="en-GB"/>
        </w:rPr>
        <w:t>gray</w:t>
      </w:r>
      <w:proofErr w:type="spellEnd"/>
      <w:r w:rsidRPr="001D311E">
        <w:rPr>
          <w:lang w:val="en-GB"/>
        </w:rPr>
        <w:t xml:space="preserve"> rhino restores it. Everyone could see it charging. The 2008 financial crisis, Volkswagen emissions, climate risk — </w:t>
      </w:r>
      <w:proofErr w:type="spellStart"/>
      <w:r w:rsidRPr="001D311E">
        <w:rPr>
          <w:lang w:val="en-GB"/>
        </w:rPr>
        <w:t>gray</w:t>
      </w:r>
      <w:proofErr w:type="spellEnd"/>
      <w:r w:rsidRPr="001D311E">
        <w:rPr>
          <w:lang w:val="en-GB"/>
        </w:rPr>
        <w:t xml:space="preserve"> rhinos, all of them. </w:t>
      </w:r>
      <w:r>
        <w:t xml:space="preserve">Visible, </w:t>
      </w:r>
      <w:proofErr w:type="spellStart"/>
      <w:r>
        <w:t>probable</w:t>
      </w:r>
      <w:proofErr w:type="spellEnd"/>
      <w:r>
        <w:t xml:space="preserve">, </w:t>
      </w:r>
      <w:proofErr w:type="spellStart"/>
      <w:r>
        <w:t>ignored</w:t>
      </w:r>
      <w:proofErr w:type="spellEnd"/>
      <w:r>
        <w:t>.</w:t>
      </w:r>
    </w:p>
    <w:p w:rsidR="00F52D2F" w:rsidRPr="001D311E" w:rsidRDefault="001253C5">
      <w:pPr>
        <w:pStyle w:val="Listeafsnit"/>
        <w:numPr>
          <w:ilvl w:val="0"/>
          <w:numId w:val="2"/>
        </w:numPr>
        <w:spacing w:before="36" w:after="36"/>
        <w:rPr>
          <w:lang w:val="en-GB"/>
        </w:rPr>
      </w:pPr>
      <w:r w:rsidRPr="001D311E">
        <w:rPr>
          <w:lang w:val="en-GB"/>
        </w:rPr>
        <w:t xml:space="preserve">The arithmetic trap: when you present a </w:t>
      </w:r>
      <w:proofErr w:type="spellStart"/>
      <w:r w:rsidRPr="001D311E">
        <w:rPr>
          <w:lang w:val="en-GB"/>
        </w:rPr>
        <w:t>gray</w:t>
      </w:r>
      <w:proofErr w:type="spellEnd"/>
      <w:r w:rsidRPr="001D311E">
        <w:rPr>
          <w:lang w:val="en-GB"/>
        </w:rPr>
        <w:t xml:space="preserve"> rhino with data, management attacks the math. 'Where does the 35% come from? What's your confidence interval?' They are not questioning your methodology. They are displacing the accountability that comes with accepting the data is right. Your job is not to win the argument about the number. Your job is to move from 'is the number right?' to 'what prevents us from acting?'</w:t>
      </w:r>
    </w:p>
    <w:p w:rsidR="00F52D2F" w:rsidRPr="001D311E" w:rsidRDefault="001253C5">
      <w:pPr>
        <w:pStyle w:val="Listeafsnit"/>
        <w:numPr>
          <w:ilvl w:val="0"/>
          <w:numId w:val="2"/>
        </w:numPr>
        <w:spacing w:before="36" w:after="36"/>
        <w:rPr>
          <w:lang w:val="en-GB"/>
        </w:rPr>
      </w:pPr>
      <w:r w:rsidRPr="001D311E">
        <w:rPr>
          <w:lang w:val="en-GB"/>
        </w:rPr>
        <w:t xml:space="preserve">Wicked problems: some </w:t>
      </w:r>
      <w:proofErr w:type="spellStart"/>
      <w:r w:rsidRPr="001D311E">
        <w:rPr>
          <w:lang w:val="en-GB"/>
        </w:rPr>
        <w:t>gray</w:t>
      </w:r>
      <w:proofErr w:type="spellEnd"/>
      <w:r w:rsidRPr="001D311E">
        <w:rPr>
          <w:lang w:val="en-GB"/>
        </w:rPr>
        <w:t xml:space="preserve"> rhinos are genuinely wicked — no solution better than another, only less-bad paths. At L5, the job is not to solve the unsolvable. It is to ensure the organisation knows it is choosing the less-bad path with open eyes.</w:t>
      </w:r>
    </w:p>
    <w:p w:rsidR="00F52D2F" w:rsidRPr="001D311E" w:rsidRDefault="00F52D2F">
      <w:pPr>
        <w:spacing w:before="60"/>
        <w:rPr>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8160"/>
      </w:tblGrid>
      <w:tr w:rsidR="00F52D2F">
        <w:tc>
          <w:tcPr>
            <w:tcW w:w="1200" w:type="dxa"/>
            <w:tcBorders>
              <w:top w:val="single" w:sz="1" w:space="0" w:color="0D7377"/>
              <w:left w:val="single" w:sz="1" w:space="0" w:color="0D7377"/>
              <w:bottom w:val="single" w:sz="1" w:space="0" w:color="0D7377"/>
              <w:right w:val="single" w:sz="1" w:space="0" w:color="0D7377"/>
            </w:tcBorders>
            <w:shd w:val="clear" w:color="auto" w:fill="0D7377"/>
            <w:tcMar>
              <w:top w:w="100" w:type="dxa"/>
              <w:left w:w="100" w:type="dxa"/>
              <w:bottom w:w="100" w:type="dxa"/>
              <w:right w:w="100" w:type="dxa"/>
            </w:tcMar>
            <w:vAlign w:val="center"/>
          </w:tcPr>
          <w:p w:rsidR="00F52D2F" w:rsidRDefault="001253C5">
            <w:pPr>
              <w:jc w:val="center"/>
            </w:pPr>
            <w:r>
              <w:rPr>
                <w:b/>
                <w:bCs/>
                <w:color w:val="FFFFFF"/>
                <w:sz w:val="17"/>
                <w:szCs w:val="17"/>
              </w:rPr>
              <w:t>QUESTION</w:t>
            </w:r>
          </w:p>
        </w:tc>
        <w:tc>
          <w:tcPr>
            <w:tcW w:w="8160" w:type="dxa"/>
            <w:tcBorders>
              <w:top w:val="single" w:sz="1" w:space="0" w:color="0D7377"/>
              <w:left w:val="single" w:sz="1" w:space="0" w:color="0D7377"/>
              <w:bottom w:val="single" w:sz="1" w:space="0" w:color="0D7377"/>
              <w:right w:val="single" w:sz="1" w:space="0" w:color="0D7377"/>
            </w:tcBorders>
            <w:shd w:val="clear" w:color="auto" w:fill="F8FAFC"/>
            <w:tcMar>
              <w:top w:w="100" w:type="dxa"/>
              <w:left w:w="160" w:type="dxa"/>
              <w:bottom w:w="100" w:type="dxa"/>
              <w:right w:w="120" w:type="dxa"/>
            </w:tcMar>
          </w:tcPr>
          <w:p w:rsidR="00F52D2F" w:rsidRPr="001D311E" w:rsidRDefault="001253C5">
            <w:pPr>
              <w:rPr>
                <w:lang w:val="en-GB"/>
              </w:rPr>
            </w:pPr>
            <w:r w:rsidRPr="001D311E">
              <w:rPr>
                <w:color w:val="1B2A4A"/>
                <w:lang w:val="en-GB"/>
              </w:rPr>
              <w:t xml:space="preserve">"Think of the biggest </w:t>
            </w:r>
            <w:proofErr w:type="spellStart"/>
            <w:r w:rsidRPr="001D311E">
              <w:rPr>
                <w:color w:val="1B2A4A"/>
                <w:lang w:val="en-GB"/>
              </w:rPr>
              <w:t>gray</w:t>
            </w:r>
            <w:proofErr w:type="spellEnd"/>
            <w:r w:rsidRPr="001D311E">
              <w:rPr>
                <w:color w:val="1B2A4A"/>
                <w:lang w:val="en-GB"/>
              </w:rPr>
              <w:t xml:space="preserve"> rhino in your organisation right now. The risk everyone can see and nobody is acting on. What's the condition that's missing — the thing that if present would allow your organisation to actually do something about it?"</w:t>
            </w:r>
          </w:p>
          <w:p w:rsidR="00F52D2F" w:rsidRPr="001D311E" w:rsidRDefault="00F52D2F">
            <w:pPr>
              <w:spacing w:before="40"/>
              <w:rPr>
                <w:lang w:val="en-GB"/>
              </w:rPr>
            </w:pPr>
          </w:p>
          <w:p w:rsidR="00F52D2F" w:rsidRPr="001D311E" w:rsidRDefault="001253C5">
            <w:pPr>
              <w:spacing w:before="40"/>
              <w:rPr>
                <w:lang w:val="en-GB"/>
              </w:rPr>
            </w:pPr>
            <w:r w:rsidRPr="001D311E">
              <w:rPr>
                <w:color w:val="1B2A4A"/>
                <w:lang w:val="en-GB"/>
              </w:rPr>
              <w:t>Hold this question. Give the room 20–30 seconds. This is the most important question in Session 2. Some will hit the wicked problem moment — where they realise there is no good option. Stay with that. 'At L5 your job is not to solve the unsolvable — it's to make sure the organisation is choosing with open eyes.'</w:t>
            </w:r>
          </w:p>
          <w:p w:rsidR="00F52D2F" w:rsidRPr="001D311E" w:rsidRDefault="00F52D2F">
            <w:pPr>
              <w:spacing w:before="40"/>
              <w:rPr>
                <w:lang w:val="en-GB"/>
              </w:rPr>
            </w:pPr>
          </w:p>
          <w:p w:rsidR="00F52D2F" w:rsidRDefault="001253C5">
            <w:pPr>
              <w:spacing w:before="40"/>
            </w:pPr>
            <w:r w:rsidRPr="001D311E">
              <w:rPr>
                <w:color w:val="1B2A4A"/>
                <w:lang w:val="en-GB"/>
              </w:rPr>
              <w:lastRenderedPageBreak/>
              <w:t xml:space="preserve">What you're listening for: most missing conditions will be culture, leadership courage, or genuine integration between functions. </w:t>
            </w:r>
            <w:r>
              <w:rPr>
                <w:color w:val="1B2A4A"/>
              </w:rPr>
              <w:t xml:space="preserve">All </w:t>
            </w:r>
            <w:proofErr w:type="spellStart"/>
            <w:r>
              <w:rPr>
                <w:color w:val="1B2A4A"/>
              </w:rPr>
              <w:t>three</w:t>
            </w:r>
            <w:proofErr w:type="spellEnd"/>
            <w:r>
              <w:rPr>
                <w:color w:val="1B2A4A"/>
              </w:rPr>
              <w:t xml:space="preserve"> </w:t>
            </w:r>
            <w:proofErr w:type="spellStart"/>
            <w:r>
              <w:rPr>
                <w:color w:val="1B2A4A"/>
              </w:rPr>
              <w:t>are</w:t>
            </w:r>
            <w:proofErr w:type="spellEnd"/>
            <w:r>
              <w:rPr>
                <w:color w:val="1B2A4A"/>
              </w:rPr>
              <w:t xml:space="preserve"> </w:t>
            </w:r>
            <w:proofErr w:type="spellStart"/>
            <w:r>
              <w:rPr>
                <w:color w:val="1B2A4A"/>
              </w:rPr>
              <w:t>conditions</w:t>
            </w:r>
            <w:proofErr w:type="spellEnd"/>
            <w:r>
              <w:rPr>
                <w:color w:val="1B2A4A"/>
              </w:rPr>
              <w:t xml:space="preserve"> the </w:t>
            </w:r>
            <w:proofErr w:type="spellStart"/>
            <w:r>
              <w:rPr>
                <w:color w:val="1B2A4A"/>
              </w:rPr>
              <w:t>ladder</w:t>
            </w:r>
            <w:proofErr w:type="spellEnd"/>
            <w:r>
              <w:rPr>
                <w:color w:val="1B2A4A"/>
              </w:rPr>
              <w:t xml:space="preserve"> </w:t>
            </w:r>
            <w:proofErr w:type="spellStart"/>
            <w:r>
              <w:rPr>
                <w:color w:val="1B2A4A"/>
              </w:rPr>
              <w:t>describes</w:t>
            </w:r>
            <w:proofErr w:type="spellEnd"/>
            <w:r>
              <w:rPr>
                <w:color w:val="1B2A4A"/>
              </w:rPr>
              <w:t>.</w:t>
            </w:r>
          </w:p>
        </w:tc>
      </w:tr>
    </w:tbl>
    <w:p w:rsidR="00F52D2F" w:rsidRDefault="00F52D2F">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8160"/>
      </w:tblGrid>
      <w:tr w:rsidR="00F52D2F">
        <w:tc>
          <w:tcPr>
            <w:tcW w:w="1200" w:type="dxa"/>
            <w:tcBorders>
              <w:top w:val="single" w:sz="1" w:space="0" w:color="B91C1C"/>
              <w:left w:val="single" w:sz="1" w:space="0" w:color="B91C1C"/>
              <w:bottom w:val="single" w:sz="1" w:space="0" w:color="B91C1C"/>
              <w:right w:val="single" w:sz="1" w:space="0" w:color="B91C1C"/>
            </w:tcBorders>
            <w:shd w:val="clear" w:color="auto" w:fill="B91C1C"/>
            <w:tcMar>
              <w:top w:w="100" w:type="dxa"/>
              <w:left w:w="100" w:type="dxa"/>
              <w:bottom w:w="100" w:type="dxa"/>
              <w:right w:w="100" w:type="dxa"/>
            </w:tcMar>
            <w:vAlign w:val="center"/>
          </w:tcPr>
          <w:p w:rsidR="00F52D2F" w:rsidRDefault="001253C5">
            <w:pPr>
              <w:jc w:val="center"/>
            </w:pPr>
            <w:r>
              <w:rPr>
                <w:b/>
                <w:bCs/>
                <w:color w:val="FFFFFF"/>
                <w:sz w:val="17"/>
                <w:szCs w:val="17"/>
              </w:rPr>
              <w:t>WATCH-OUT</w:t>
            </w:r>
          </w:p>
        </w:tc>
        <w:tc>
          <w:tcPr>
            <w:tcW w:w="8160" w:type="dxa"/>
            <w:tcBorders>
              <w:top w:val="single" w:sz="1" w:space="0" w:color="B91C1C"/>
              <w:left w:val="single" w:sz="1" w:space="0" w:color="B91C1C"/>
              <w:bottom w:val="single" w:sz="1" w:space="0" w:color="B91C1C"/>
              <w:right w:val="single" w:sz="1" w:space="0" w:color="B91C1C"/>
            </w:tcBorders>
            <w:shd w:val="clear" w:color="auto" w:fill="F8FAFC"/>
            <w:tcMar>
              <w:top w:w="100" w:type="dxa"/>
              <w:left w:w="160" w:type="dxa"/>
              <w:bottom w:w="100" w:type="dxa"/>
              <w:right w:w="120" w:type="dxa"/>
            </w:tcMar>
          </w:tcPr>
          <w:p w:rsidR="00F52D2F" w:rsidRDefault="001253C5">
            <w:r w:rsidRPr="001D311E">
              <w:rPr>
                <w:color w:val="1B2A4A"/>
                <w:lang w:val="en-GB"/>
              </w:rPr>
              <w:t xml:space="preserve">The </w:t>
            </w:r>
            <w:proofErr w:type="spellStart"/>
            <w:r w:rsidRPr="001D311E">
              <w:rPr>
                <w:color w:val="1B2A4A"/>
                <w:lang w:val="en-GB"/>
              </w:rPr>
              <w:t>gray</w:t>
            </w:r>
            <w:proofErr w:type="spellEnd"/>
            <w:r w:rsidRPr="001D311E">
              <w:rPr>
                <w:color w:val="1B2A4A"/>
                <w:lang w:val="en-GB"/>
              </w:rPr>
              <w:t xml:space="preserve"> rhino question can produce long silence, especially if naming the rhino feels professionally risky. Make it safer: 'You don't have to name it specifically — just describe the shape of it. What kind of risk is it, and what's the condition that's missing?' </w:t>
            </w:r>
            <w:r>
              <w:rPr>
                <w:color w:val="1B2A4A"/>
              </w:rPr>
              <w:t xml:space="preserve">The </w:t>
            </w:r>
            <w:proofErr w:type="spellStart"/>
            <w:r>
              <w:rPr>
                <w:color w:val="1B2A4A"/>
              </w:rPr>
              <w:t>shape</w:t>
            </w:r>
            <w:proofErr w:type="spellEnd"/>
            <w:r>
              <w:rPr>
                <w:color w:val="1B2A4A"/>
              </w:rPr>
              <w:t xml:space="preserve"> is </w:t>
            </w:r>
            <w:proofErr w:type="spellStart"/>
            <w:r>
              <w:rPr>
                <w:color w:val="1B2A4A"/>
              </w:rPr>
              <w:t>enough</w:t>
            </w:r>
            <w:proofErr w:type="spellEnd"/>
            <w:r>
              <w:rPr>
                <w:color w:val="1B2A4A"/>
              </w:rPr>
              <w:t xml:space="preserve"> to </w:t>
            </w:r>
            <w:proofErr w:type="spellStart"/>
            <w:r>
              <w:rPr>
                <w:color w:val="1B2A4A"/>
              </w:rPr>
              <w:t>generate</w:t>
            </w:r>
            <w:proofErr w:type="spellEnd"/>
            <w:r>
              <w:rPr>
                <w:color w:val="1B2A4A"/>
              </w:rPr>
              <w:t xml:space="preserve"> the </w:t>
            </w:r>
            <w:proofErr w:type="spellStart"/>
            <w:r>
              <w:rPr>
                <w:color w:val="1B2A4A"/>
              </w:rPr>
              <w:t>insight</w:t>
            </w:r>
            <w:proofErr w:type="spellEnd"/>
            <w:r>
              <w:rPr>
                <w:color w:val="1B2A4A"/>
              </w:rPr>
              <w:t>.</w:t>
            </w:r>
          </w:p>
        </w:tc>
      </w:tr>
    </w:tbl>
    <w:p w:rsidR="0018200C" w:rsidRDefault="0018200C">
      <w:pPr>
        <w:spacing w:before="120"/>
      </w:pPr>
    </w:p>
    <w:p w:rsidR="0018200C" w:rsidRDefault="0018200C">
      <w:r>
        <w:br w:type="page"/>
      </w:r>
    </w:p>
    <w:p w:rsidR="00F52D2F" w:rsidRDefault="00F52D2F">
      <w:pPr>
        <w:spacing w:before="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60"/>
        <w:gridCol w:w="1800"/>
        <w:gridCol w:w="1800"/>
      </w:tblGrid>
      <w:tr w:rsidR="00F52D2F">
        <w:tc>
          <w:tcPr>
            <w:tcW w:w="5760" w:type="dxa"/>
            <w:tcBorders>
              <w:top w:val="none" w:sz="0" w:space="0" w:color="FFFFFF"/>
              <w:left w:val="none" w:sz="0" w:space="0" w:color="FFFFFF"/>
              <w:bottom w:val="none" w:sz="0" w:space="0" w:color="FFFFFF"/>
              <w:right w:val="none" w:sz="0" w:space="0" w:color="FFFFFF"/>
            </w:tcBorders>
            <w:shd w:val="clear" w:color="auto" w:fill="0D7377"/>
            <w:tcMar>
              <w:top w:w="80" w:type="dxa"/>
              <w:left w:w="160" w:type="dxa"/>
              <w:bottom w:w="80" w:type="dxa"/>
              <w:right w:w="120" w:type="dxa"/>
            </w:tcMar>
          </w:tcPr>
          <w:p w:rsidR="00F52D2F" w:rsidRPr="001D311E" w:rsidRDefault="001253C5">
            <w:pPr>
              <w:rPr>
                <w:lang w:val="en-GB"/>
              </w:rPr>
            </w:pPr>
            <w:r w:rsidRPr="001D311E">
              <w:rPr>
                <w:b/>
                <w:bCs/>
                <w:color w:val="FFFFFF"/>
                <w:sz w:val="22"/>
                <w:szCs w:val="22"/>
                <w:lang w:val="en-GB"/>
              </w:rPr>
              <w:t>PROVOCATION 3 — The Framework Has a Flaw</w:t>
            </w:r>
          </w:p>
        </w:tc>
        <w:tc>
          <w:tcPr>
            <w:tcW w:w="1800" w:type="dxa"/>
            <w:tcBorders>
              <w:top w:val="none" w:sz="0" w:space="0" w:color="FFFFFF"/>
              <w:left w:val="none" w:sz="0" w:space="0" w:color="FFFFFF"/>
              <w:bottom w:val="none" w:sz="0" w:space="0" w:color="FFFFFF"/>
              <w:right w:val="none" w:sz="0" w:space="0" w:color="FFFFFF"/>
            </w:tcBorders>
            <w:shd w:val="clear" w:color="auto" w:fill="0A5B5E"/>
            <w:tcMar>
              <w:top w:w="80" w:type="dxa"/>
              <w:left w:w="120" w:type="dxa"/>
              <w:bottom w:w="80" w:type="dxa"/>
              <w:right w:w="120" w:type="dxa"/>
            </w:tcMar>
            <w:vAlign w:val="center"/>
          </w:tcPr>
          <w:p w:rsidR="00F52D2F" w:rsidRDefault="001253C5">
            <w:pPr>
              <w:jc w:val="center"/>
            </w:pPr>
            <w:r>
              <w:rPr>
                <w:color w:val="FFFFFF"/>
                <w:sz w:val="18"/>
                <w:szCs w:val="18"/>
              </w:rPr>
              <w:t>1:05 — 1:25</w:t>
            </w:r>
          </w:p>
        </w:tc>
        <w:tc>
          <w:tcPr>
            <w:tcW w:w="1800" w:type="dxa"/>
            <w:tcBorders>
              <w:top w:val="none" w:sz="0" w:space="0" w:color="FFFFFF"/>
              <w:left w:val="none" w:sz="0" w:space="0" w:color="FFFFFF"/>
              <w:bottom w:val="none" w:sz="0" w:space="0" w:color="FFFFFF"/>
              <w:right w:val="none" w:sz="0" w:space="0" w:color="FFFFFF"/>
            </w:tcBorders>
            <w:shd w:val="clear" w:color="auto" w:fill="084F52"/>
            <w:tcMar>
              <w:top w:w="80" w:type="dxa"/>
              <w:left w:w="120" w:type="dxa"/>
              <w:bottom w:w="80" w:type="dxa"/>
              <w:right w:w="120" w:type="dxa"/>
            </w:tcMar>
            <w:vAlign w:val="center"/>
          </w:tcPr>
          <w:p w:rsidR="00F52D2F" w:rsidRDefault="001253C5">
            <w:pPr>
              <w:jc w:val="center"/>
            </w:pPr>
            <w:r>
              <w:rPr>
                <w:color w:val="FFFFFF"/>
                <w:sz w:val="18"/>
                <w:szCs w:val="18"/>
              </w:rPr>
              <w:t>Slides 9–11</w:t>
            </w:r>
          </w:p>
        </w:tc>
      </w:tr>
    </w:tbl>
    <w:p w:rsidR="00F52D2F" w:rsidRDefault="00F52D2F">
      <w:pPr>
        <w:spacing w:before="80"/>
      </w:pPr>
    </w:p>
    <w:p w:rsidR="00F52D2F" w:rsidRDefault="001253C5">
      <w:pPr>
        <w:spacing w:before="200" w:after="60"/>
      </w:pPr>
      <w:proofErr w:type="spellStart"/>
      <w:r>
        <w:rPr>
          <w:b/>
          <w:bCs/>
          <w:color w:val="0D7377"/>
          <w:sz w:val="21"/>
          <w:szCs w:val="21"/>
        </w:rPr>
        <w:t>What</w:t>
      </w:r>
      <w:proofErr w:type="spellEnd"/>
      <w:r>
        <w:rPr>
          <w:b/>
          <w:bCs/>
          <w:color w:val="0D7377"/>
          <w:sz w:val="21"/>
          <w:szCs w:val="21"/>
        </w:rPr>
        <w:t xml:space="preserve"> </w:t>
      </w:r>
      <w:proofErr w:type="spellStart"/>
      <w:r>
        <w:rPr>
          <w:b/>
          <w:bCs/>
          <w:color w:val="0D7377"/>
          <w:sz w:val="21"/>
          <w:szCs w:val="21"/>
        </w:rPr>
        <w:t>this</w:t>
      </w:r>
      <w:proofErr w:type="spellEnd"/>
      <w:r>
        <w:rPr>
          <w:b/>
          <w:bCs/>
          <w:color w:val="0D7377"/>
          <w:sz w:val="21"/>
          <w:szCs w:val="21"/>
        </w:rPr>
        <w:t xml:space="preserve"> </w:t>
      </w:r>
      <w:proofErr w:type="spellStart"/>
      <w:r>
        <w:rPr>
          <w:b/>
          <w:bCs/>
          <w:color w:val="0D7377"/>
          <w:sz w:val="21"/>
          <w:szCs w:val="21"/>
        </w:rPr>
        <w:t>section</w:t>
      </w:r>
      <w:proofErr w:type="spellEnd"/>
      <w:r>
        <w:rPr>
          <w:b/>
          <w:bCs/>
          <w:color w:val="0D7377"/>
          <w:sz w:val="21"/>
          <w:szCs w:val="21"/>
        </w:rPr>
        <w:t xml:space="preserve"> is </w:t>
      </w:r>
      <w:proofErr w:type="spellStart"/>
      <w:r>
        <w:rPr>
          <w:b/>
          <w:bCs/>
          <w:color w:val="0D7377"/>
          <w:sz w:val="21"/>
          <w:szCs w:val="21"/>
        </w:rPr>
        <w:t>doing</w:t>
      </w:r>
      <w:proofErr w:type="spellEnd"/>
    </w:p>
    <w:p w:rsidR="00F52D2F" w:rsidRPr="001D311E" w:rsidRDefault="001253C5">
      <w:pPr>
        <w:spacing w:before="50" w:after="50"/>
        <w:rPr>
          <w:lang w:val="en-GB"/>
        </w:rPr>
      </w:pPr>
      <w:r w:rsidRPr="001D311E">
        <w:rPr>
          <w:lang w:val="en-GB"/>
        </w:rPr>
        <w:t>Addressing the natural response to Provocations 1 and 2: 'if the current approach isn't working, shouldn't we find a better framework?' The answer is: better frameworks exist and are worth knowing, but frameworks alone were never the solution. This section uses the Three Lines revision, COSO's blind spot, and the additive bias timeline to demonstrate that even the best frameworks acknowledge their own limitations — and that the professional skill of knowing when a framework is adequate and when it isn't is more valuable than framework knowledge itself.</w:t>
      </w:r>
    </w:p>
    <w:p w:rsidR="00F52D2F" w:rsidRPr="001D311E" w:rsidRDefault="00F52D2F">
      <w:pPr>
        <w:spacing w:before="60"/>
        <w:rPr>
          <w:lang w:val="en-GB"/>
        </w:rPr>
      </w:pPr>
    </w:p>
    <w:p w:rsidR="00F52D2F" w:rsidRPr="001D311E" w:rsidRDefault="001253C5">
      <w:pPr>
        <w:spacing w:before="200" w:after="60"/>
        <w:rPr>
          <w:lang w:val="en-GB"/>
        </w:rPr>
      </w:pPr>
      <w:r w:rsidRPr="001D311E">
        <w:rPr>
          <w:b/>
          <w:bCs/>
          <w:color w:val="0D7377"/>
          <w:sz w:val="21"/>
          <w:szCs w:val="21"/>
          <w:lang w:val="en-GB"/>
        </w:rPr>
        <w:t>Key moves — The Question (Slide 9)</w:t>
      </w:r>
    </w:p>
    <w:p w:rsidR="00F52D2F" w:rsidRPr="001D311E" w:rsidRDefault="001253C5">
      <w:pPr>
        <w:pStyle w:val="Listeafsnit"/>
        <w:numPr>
          <w:ilvl w:val="0"/>
          <w:numId w:val="2"/>
        </w:numPr>
        <w:spacing w:before="36" w:after="36"/>
        <w:rPr>
          <w:lang w:val="en-GB"/>
        </w:rPr>
      </w:pPr>
      <w:r w:rsidRPr="001D311E">
        <w:rPr>
          <w:lang w:val="en-GB"/>
        </w:rPr>
        <w:t>One question on screen, no framework named: what problem was this framework designed to solve? The question applies to everything. COSO came from the Treadway Commission after the S&amp;L crisis. The Three Lines from decades of assurance practice. These are not arbitrary constructs — they represent genuine thinking at a particular moment.</w:t>
      </w:r>
    </w:p>
    <w:p w:rsidR="00F52D2F" w:rsidRPr="001D311E" w:rsidRDefault="001253C5">
      <w:pPr>
        <w:pStyle w:val="Listeafsnit"/>
        <w:numPr>
          <w:ilvl w:val="0"/>
          <w:numId w:val="2"/>
        </w:numPr>
        <w:spacing w:before="36" w:after="36"/>
        <w:rPr>
          <w:lang w:val="en-GB"/>
        </w:rPr>
      </w:pPr>
      <w:r w:rsidRPr="001D311E">
        <w:rPr>
          <w:lang w:val="en-GB"/>
        </w:rPr>
        <w:t>But the moment keeps moving. And there is a commercial ecosystem with a structural incentive to make frameworks seem more permanent than they are. The professional skill is telling genuine advancement from a reason to buy a new certification.</w:t>
      </w:r>
    </w:p>
    <w:p w:rsidR="0002481A" w:rsidRPr="00327FF7" w:rsidRDefault="0002481A" w:rsidP="0002481A">
      <w:pPr>
        <w:pStyle w:val="font-claude-response-body"/>
        <w:numPr>
          <w:ilvl w:val="0"/>
          <w:numId w:val="2"/>
        </w:numPr>
        <w:rPr>
          <w:rFonts w:ascii="Calibri" w:eastAsia="Calibri" w:hAnsi="Calibri" w:cs="Calibri"/>
          <w:color w:val="475569"/>
          <w:sz w:val="20"/>
          <w:szCs w:val="20"/>
          <w:lang w:val="en-GB"/>
        </w:rPr>
      </w:pPr>
      <w:r w:rsidRPr="00327FF7">
        <w:rPr>
          <w:rFonts w:ascii="Calibri" w:eastAsia="Calibri" w:hAnsi="Calibri" w:cs="Calibri"/>
          <w:color w:val="475569"/>
          <w:sz w:val="20"/>
          <w:szCs w:val="20"/>
          <w:lang w:val="en-GB"/>
        </w:rPr>
        <w:t>COSO emerged from the Treadway Commission's work after the savings and loan crisis of the 1980s. Hundreds of S&amp;L institutions failed, fraud was widespread, internal controls were inadequate. COSO's answer: a framework for internal control that made the control environment, risk assessment, control activities, information and communication, and monitoring into a coherent system. It was exactly the right response to exactly that problem.</w:t>
      </w:r>
    </w:p>
    <w:p w:rsidR="0002481A" w:rsidRPr="00327FF7" w:rsidRDefault="0002481A" w:rsidP="0002481A">
      <w:pPr>
        <w:pStyle w:val="font-claude-response-body"/>
        <w:numPr>
          <w:ilvl w:val="0"/>
          <w:numId w:val="2"/>
        </w:numPr>
        <w:rPr>
          <w:rFonts w:ascii="Calibri" w:eastAsia="Calibri" w:hAnsi="Calibri" w:cs="Calibri"/>
          <w:color w:val="475569"/>
          <w:sz w:val="20"/>
          <w:szCs w:val="20"/>
          <w:lang w:val="en-GB"/>
        </w:rPr>
      </w:pPr>
      <w:r w:rsidRPr="00327FF7">
        <w:rPr>
          <w:rFonts w:ascii="Calibri" w:eastAsia="Calibri" w:hAnsi="Calibri" w:cs="Calibri"/>
          <w:color w:val="475569"/>
          <w:sz w:val="20"/>
          <w:szCs w:val="20"/>
          <w:lang w:val="en-GB"/>
        </w:rPr>
        <w:t>The Three Lines model emerged from decades of practical experience with how assurance functions interact — particularly in financial services after a series of failures where nobody was clearly responsible for whether risk management was actually working. Its answer: clear lines of accountability, clear separation between doing, overseeing and assuring.</w:t>
      </w:r>
    </w:p>
    <w:p w:rsidR="0002481A" w:rsidRDefault="0002481A" w:rsidP="0002481A">
      <w:pPr>
        <w:pStyle w:val="font-claude-response-body"/>
        <w:numPr>
          <w:ilvl w:val="0"/>
          <w:numId w:val="2"/>
        </w:numPr>
        <w:rPr>
          <w:rFonts w:ascii="Calibri" w:eastAsia="Calibri" w:hAnsi="Calibri" w:cs="Calibri"/>
          <w:color w:val="475569"/>
          <w:sz w:val="20"/>
          <w:szCs w:val="20"/>
          <w:lang w:val="en-GB"/>
        </w:rPr>
      </w:pPr>
      <w:r w:rsidRPr="00327FF7">
        <w:rPr>
          <w:rFonts w:ascii="Calibri" w:eastAsia="Calibri" w:hAnsi="Calibri" w:cs="Calibri"/>
          <w:color w:val="475569"/>
          <w:sz w:val="20"/>
          <w:szCs w:val="20"/>
          <w:lang w:val="en-GB"/>
        </w:rPr>
        <w:t>The point of naming this history is not to celebrate the frameworks. It is to establish that they were designed by thoughtful people responding to real problems — and that the moment those problems existed in no longer exists in quite the same form. The organisations these frameworks were designed for were less complex, less interconnected, less digital, and operating in a less volatile regulatory environment than the ones your students work in today.</w:t>
      </w:r>
    </w:p>
    <w:p w:rsidR="00327FF7" w:rsidRPr="00327FF7" w:rsidRDefault="00327FF7" w:rsidP="00C2207C">
      <w:pPr>
        <w:pStyle w:val="font-claude-response-body"/>
        <w:numPr>
          <w:ilvl w:val="0"/>
          <w:numId w:val="2"/>
        </w:numPr>
        <w:rPr>
          <w:rFonts w:ascii="Calibri" w:eastAsia="Calibri" w:hAnsi="Calibri" w:cs="Calibri"/>
          <w:color w:val="475569"/>
          <w:sz w:val="20"/>
          <w:szCs w:val="20"/>
          <w:lang w:val="en-GB"/>
        </w:rPr>
      </w:pPr>
      <w:r w:rsidRPr="00327FF7">
        <w:rPr>
          <w:rFonts w:ascii="Calibri" w:eastAsia="Calibri" w:hAnsi="Calibri" w:cs="Calibri"/>
          <w:color w:val="475569"/>
          <w:sz w:val="20"/>
          <w:szCs w:val="20"/>
          <w:lang w:val="en-GB"/>
        </w:rPr>
        <w:t>“OCEG's GRC capability model starts from a premise that COSO and the Three Lines don't quite reach — that governance, risk and compliance should operate as a single integrated system rather than as three adjacent functions that occasionally talk to each other. That's actually a more ambitious claim than either COSO or the Three Lines makes. COSO improves controls. The Three Lines clarifies accountability. OCEG says the whole thing should be redesigned around a common purpose. The OECD principles give you the board-level view of what governance should produce. COSO gives you the operational view of how controls should work. The Three Lines gives you the accountability structure that connects them. None of them tells you whether the conversation between all three is actually happening.</w:t>
      </w:r>
      <w:r>
        <w:rPr>
          <w:rFonts w:ascii="Calibri" w:eastAsia="Calibri" w:hAnsi="Calibri" w:cs="Calibri"/>
          <w:color w:val="475569"/>
          <w:sz w:val="20"/>
          <w:szCs w:val="20"/>
          <w:lang w:val="en-GB"/>
        </w:rPr>
        <w:t>”</w:t>
      </w:r>
      <w:bookmarkStart w:id="0" w:name="_GoBack"/>
      <w:bookmarkEnd w:id="0"/>
    </w:p>
    <w:p w:rsidR="00F52D2F" w:rsidRPr="00327FF7" w:rsidRDefault="00F52D2F">
      <w:pPr>
        <w:spacing w:before="60"/>
        <w:rPr>
          <w:lang w:val="en-GB"/>
        </w:rPr>
      </w:pPr>
    </w:p>
    <w:p w:rsidR="00F52D2F" w:rsidRPr="001D311E" w:rsidRDefault="001253C5">
      <w:pPr>
        <w:spacing w:before="200" w:after="60"/>
        <w:rPr>
          <w:lang w:val="en-GB"/>
        </w:rPr>
      </w:pPr>
      <w:r w:rsidRPr="001D311E">
        <w:rPr>
          <w:b/>
          <w:bCs/>
          <w:color w:val="0D7377"/>
          <w:sz w:val="21"/>
          <w:szCs w:val="21"/>
          <w:lang w:val="en-GB"/>
        </w:rPr>
        <w:t>Key moves — Three Lines Comparison (Slide 10)</w:t>
      </w:r>
    </w:p>
    <w:p w:rsidR="00F52D2F" w:rsidRPr="001D311E" w:rsidRDefault="001253C5">
      <w:pPr>
        <w:pStyle w:val="Listeafsnit"/>
        <w:numPr>
          <w:ilvl w:val="0"/>
          <w:numId w:val="2"/>
        </w:numPr>
        <w:spacing w:before="36" w:after="36"/>
        <w:rPr>
          <w:lang w:val="en-GB"/>
        </w:rPr>
      </w:pPr>
      <w:r w:rsidRPr="001D311E">
        <w:rPr>
          <w:lang w:val="en-GB"/>
        </w:rPr>
        <w:t>Show both versions. Give the room 30 seconds to read before you say anything. Let them figure out what changed. The discovery is more powerful than your explanation.</w:t>
      </w:r>
    </w:p>
    <w:p w:rsidR="00F52D2F" w:rsidRDefault="001253C5">
      <w:pPr>
        <w:pStyle w:val="Listeafsnit"/>
        <w:numPr>
          <w:ilvl w:val="0"/>
          <w:numId w:val="2"/>
        </w:numPr>
        <w:spacing w:before="36" w:after="36"/>
      </w:pPr>
      <w:r w:rsidRPr="001D311E">
        <w:rPr>
          <w:lang w:val="en-GB"/>
        </w:rPr>
        <w:t xml:space="preserve">When they've identified the key change: the IIA acknowledged that the original version had created a structural problem — organisations were using it to centralise risk ownership in the second line, enabling the business to say 'that's compliance's job.' The 2020 revision tried to fix that. Most organisations are still running the original version. </w:t>
      </w:r>
      <w:r>
        <w:t xml:space="preserve">The framework </w:t>
      </w:r>
      <w:proofErr w:type="spellStart"/>
      <w:r>
        <w:t>evolved</w:t>
      </w:r>
      <w:proofErr w:type="spellEnd"/>
      <w:r>
        <w:t xml:space="preserve">. The </w:t>
      </w:r>
      <w:proofErr w:type="spellStart"/>
      <w:r>
        <w:t>implementations</w:t>
      </w:r>
      <w:proofErr w:type="spellEnd"/>
      <w:r>
        <w:t xml:space="preserve"> </w:t>
      </w:r>
      <w:proofErr w:type="spellStart"/>
      <w:r>
        <w:t>didn't</w:t>
      </w:r>
      <w:proofErr w:type="spellEnd"/>
      <w:r>
        <w:t>.</w:t>
      </w:r>
    </w:p>
    <w:p w:rsidR="00F52D2F" w:rsidRDefault="001253C5">
      <w:pPr>
        <w:pStyle w:val="Listeafsnit"/>
        <w:numPr>
          <w:ilvl w:val="0"/>
          <w:numId w:val="2"/>
        </w:numPr>
        <w:spacing w:before="36" w:after="36"/>
      </w:pPr>
      <w:r w:rsidRPr="001D311E">
        <w:rPr>
          <w:lang w:val="en-GB"/>
        </w:rPr>
        <w:t xml:space="preserve">COSO's blind spot: tone at the top drives culture downward. Enron had an excellent code of ethics. Volkswagen had a well-resourced compliance function. Wells Fargo had detailed customer treatment policies. Culture is lateral and emergent, not top-down and mandated. </w:t>
      </w:r>
      <w:r>
        <w:t xml:space="preserve">COSO </w:t>
      </w:r>
      <w:proofErr w:type="spellStart"/>
      <w:r>
        <w:t>wasn't</w:t>
      </w:r>
      <w:proofErr w:type="spellEnd"/>
      <w:r>
        <w:t xml:space="preserve"> </w:t>
      </w:r>
      <w:proofErr w:type="spellStart"/>
      <w:r>
        <w:t>designed</w:t>
      </w:r>
      <w:proofErr w:type="spellEnd"/>
      <w:r>
        <w:t xml:space="preserve"> to </w:t>
      </w:r>
      <w:proofErr w:type="spellStart"/>
      <w:r>
        <w:t>see</w:t>
      </w:r>
      <w:proofErr w:type="spellEnd"/>
      <w:r>
        <w:t xml:space="preserve"> </w:t>
      </w:r>
      <w:proofErr w:type="spellStart"/>
      <w:r>
        <w:t>that</w:t>
      </w:r>
      <w:proofErr w:type="spellEnd"/>
      <w:r>
        <w:t>.</w:t>
      </w:r>
    </w:p>
    <w:p w:rsidR="00A71DA2" w:rsidRDefault="00A71DA2">
      <w:pPr>
        <w:pStyle w:val="Listeafsnit"/>
        <w:numPr>
          <w:ilvl w:val="0"/>
          <w:numId w:val="2"/>
        </w:numPr>
        <w:spacing w:before="36" w:after="36"/>
      </w:pPr>
      <w:r w:rsidRPr="00A71DA2">
        <w:rPr>
          <w:lang w:val="en-GB"/>
        </w:rPr>
        <w:lastRenderedPageBreak/>
        <w:t xml:space="preserve">"Remember the military's observation about shared accountability. The Three Lines model, implemented badly, produces exactly this. First line says risk owns it. Second line says the business owns it. Third line says they just assure. </w:t>
      </w:r>
      <w:r>
        <w:t xml:space="preserve">Nobody </w:t>
      </w:r>
      <w:proofErr w:type="spellStart"/>
      <w:r>
        <w:t>owns</w:t>
      </w:r>
      <w:proofErr w:type="spellEnd"/>
      <w:r>
        <w:t xml:space="preserve"> it. The </w:t>
      </w:r>
      <w:proofErr w:type="spellStart"/>
      <w:r>
        <w:t>number</w:t>
      </w:r>
      <w:proofErr w:type="spellEnd"/>
      <w:r>
        <w:t xml:space="preserve"> </w:t>
      </w:r>
      <w:proofErr w:type="spellStart"/>
      <w:r>
        <w:t>approaches</w:t>
      </w:r>
      <w:proofErr w:type="spellEnd"/>
      <w:r>
        <w:t xml:space="preserve"> </w:t>
      </w:r>
      <w:proofErr w:type="spellStart"/>
      <w:r>
        <w:t>zero</w:t>
      </w:r>
      <w:proofErr w:type="spellEnd"/>
      <w:r>
        <w:t>."</w:t>
      </w:r>
    </w:p>
    <w:p w:rsidR="00F52D2F" w:rsidRDefault="00F52D2F">
      <w:pPr>
        <w:spacing w:before="60"/>
      </w:pPr>
    </w:p>
    <w:p w:rsidR="00F52D2F" w:rsidRPr="001D311E" w:rsidRDefault="001253C5">
      <w:pPr>
        <w:spacing w:before="200" w:after="60"/>
        <w:rPr>
          <w:lang w:val="en-GB"/>
        </w:rPr>
      </w:pPr>
      <w:r w:rsidRPr="001D311E">
        <w:rPr>
          <w:b/>
          <w:bCs/>
          <w:color w:val="0D7377"/>
          <w:sz w:val="21"/>
          <w:szCs w:val="21"/>
          <w:lang w:val="en-GB"/>
        </w:rPr>
        <w:t>Key moves — Additive Bias Returns (Slide 11)</w:t>
      </w:r>
    </w:p>
    <w:p w:rsidR="00F52D2F" w:rsidRDefault="001253C5">
      <w:pPr>
        <w:pStyle w:val="Listeafsnit"/>
        <w:numPr>
          <w:ilvl w:val="0"/>
          <w:numId w:val="2"/>
        </w:numPr>
        <w:spacing w:before="36" w:after="36"/>
      </w:pPr>
      <w:r w:rsidRPr="001D311E">
        <w:rPr>
          <w:lang w:val="en-GB"/>
        </w:rPr>
        <w:t xml:space="preserve">The timeline of framework revisions and additions: COSO 1992, COSO ERM 2004, Three Lines 2013, COSO ERM revised 2017, Three Lines revised 2020, ISO 37301 2021, EU AI Act 2026. </w:t>
      </w:r>
      <w:proofErr w:type="spellStart"/>
      <w:r>
        <w:t>Every</w:t>
      </w:r>
      <w:proofErr w:type="spellEnd"/>
      <w:r>
        <w:t xml:space="preserve"> revision </w:t>
      </w:r>
      <w:proofErr w:type="spellStart"/>
      <w:r>
        <w:t>adds</w:t>
      </w:r>
      <w:proofErr w:type="spellEnd"/>
      <w:r>
        <w:t xml:space="preserve">. Nobody </w:t>
      </w:r>
      <w:proofErr w:type="spellStart"/>
      <w:r>
        <w:t>subtracts</w:t>
      </w:r>
      <w:proofErr w:type="spellEnd"/>
      <w:r>
        <w:t>.</w:t>
      </w:r>
    </w:p>
    <w:p w:rsidR="00F52D2F" w:rsidRPr="001D311E" w:rsidRDefault="001253C5">
      <w:pPr>
        <w:pStyle w:val="Listeafsnit"/>
        <w:numPr>
          <w:ilvl w:val="0"/>
          <w:numId w:val="2"/>
        </w:numPr>
        <w:spacing w:before="36" w:after="36"/>
        <w:rPr>
          <w:lang w:val="en-GB"/>
        </w:rPr>
      </w:pPr>
      <w:r w:rsidRPr="001D311E">
        <w:rPr>
          <w:lang w:val="en-GB"/>
        </w:rPr>
        <w:t>'What would it mean to subtract?' That question is deliberately provocative. Subtracting from a compliance framework sounds irresponsible. The discomfort with the idea is exactly the bias you are naming.</w:t>
      </w:r>
    </w:p>
    <w:p w:rsidR="00F52D2F" w:rsidRPr="001D311E" w:rsidRDefault="001253C5">
      <w:pPr>
        <w:pStyle w:val="Listeafsnit"/>
        <w:numPr>
          <w:ilvl w:val="0"/>
          <w:numId w:val="2"/>
        </w:numPr>
        <w:spacing w:before="36" w:after="36"/>
        <w:rPr>
          <w:lang w:val="en-GB"/>
        </w:rPr>
      </w:pPr>
      <w:r w:rsidRPr="001D311E">
        <w:rPr>
          <w:lang w:val="en-GB"/>
        </w:rPr>
        <w:t>MMA closing principle — spoken not shown: a framework is a tool, not a destination. Know which discipline the moment is calling for. The practitioners who will matter are not the ones who know the current framework best — they are the ones who know what the framework is trying to achieve, well enough to navigate when it runs out.</w:t>
      </w:r>
    </w:p>
    <w:p w:rsidR="00F52D2F" w:rsidRPr="001D311E" w:rsidRDefault="00F52D2F">
      <w:pPr>
        <w:spacing w:before="60"/>
        <w:rPr>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8160"/>
      </w:tblGrid>
      <w:tr w:rsidR="00F52D2F" w:rsidRPr="00377C58">
        <w:tc>
          <w:tcPr>
            <w:tcW w:w="1200" w:type="dxa"/>
            <w:tcBorders>
              <w:top w:val="single" w:sz="1" w:space="0" w:color="0D7377"/>
              <w:left w:val="single" w:sz="1" w:space="0" w:color="0D7377"/>
              <w:bottom w:val="single" w:sz="1" w:space="0" w:color="0D7377"/>
              <w:right w:val="single" w:sz="1" w:space="0" w:color="0D7377"/>
            </w:tcBorders>
            <w:shd w:val="clear" w:color="auto" w:fill="0D7377"/>
            <w:tcMar>
              <w:top w:w="100" w:type="dxa"/>
              <w:left w:w="100" w:type="dxa"/>
              <w:bottom w:w="100" w:type="dxa"/>
              <w:right w:w="100" w:type="dxa"/>
            </w:tcMar>
            <w:vAlign w:val="center"/>
          </w:tcPr>
          <w:p w:rsidR="00F52D2F" w:rsidRDefault="001253C5">
            <w:pPr>
              <w:jc w:val="center"/>
            </w:pPr>
            <w:r>
              <w:rPr>
                <w:b/>
                <w:bCs/>
                <w:color w:val="FFFFFF"/>
                <w:sz w:val="17"/>
                <w:szCs w:val="17"/>
              </w:rPr>
              <w:t>QUESTION</w:t>
            </w:r>
          </w:p>
        </w:tc>
        <w:tc>
          <w:tcPr>
            <w:tcW w:w="8160" w:type="dxa"/>
            <w:tcBorders>
              <w:top w:val="single" w:sz="1" w:space="0" w:color="0D7377"/>
              <w:left w:val="single" w:sz="1" w:space="0" w:color="0D7377"/>
              <w:bottom w:val="single" w:sz="1" w:space="0" w:color="0D7377"/>
              <w:right w:val="single" w:sz="1" w:space="0" w:color="0D7377"/>
            </w:tcBorders>
            <w:shd w:val="clear" w:color="auto" w:fill="F8FAFC"/>
            <w:tcMar>
              <w:top w:w="100" w:type="dxa"/>
              <w:left w:w="160" w:type="dxa"/>
              <w:bottom w:w="100" w:type="dxa"/>
              <w:right w:w="120" w:type="dxa"/>
            </w:tcMar>
          </w:tcPr>
          <w:p w:rsidR="00F52D2F" w:rsidRPr="001D311E" w:rsidRDefault="001253C5">
            <w:pPr>
              <w:rPr>
                <w:lang w:val="en-GB"/>
              </w:rPr>
            </w:pPr>
            <w:r w:rsidRPr="001D311E">
              <w:rPr>
                <w:color w:val="1B2A4A"/>
                <w:lang w:val="en-GB"/>
              </w:rPr>
              <w:t>Three Lines/COSO: "What changed between 2013 and 2020? And why?" — Let them read first. Discovery before explanation.</w:t>
            </w:r>
          </w:p>
          <w:p w:rsidR="00F52D2F" w:rsidRPr="001D311E" w:rsidRDefault="00F52D2F">
            <w:pPr>
              <w:spacing w:before="40"/>
              <w:rPr>
                <w:lang w:val="en-GB"/>
              </w:rPr>
            </w:pPr>
          </w:p>
          <w:p w:rsidR="00F52D2F" w:rsidRPr="001D311E" w:rsidRDefault="001253C5">
            <w:pPr>
              <w:spacing w:before="40"/>
              <w:rPr>
                <w:lang w:val="en-GB"/>
              </w:rPr>
            </w:pPr>
            <w:r w:rsidRPr="001D311E">
              <w:rPr>
                <w:color w:val="1B2A4A"/>
                <w:lang w:val="en-GB"/>
              </w:rPr>
              <w:t>Additive bias: "What would it mean to subtract? If you could remove one element of your GRC framework that would make the remaining system more effective — what would it be?"</w:t>
            </w:r>
          </w:p>
          <w:p w:rsidR="00F52D2F" w:rsidRPr="001D311E" w:rsidRDefault="00F52D2F">
            <w:pPr>
              <w:spacing w:before="40"/>
              <w:rPr>
                <w:lang w:val="en-GB"/>
              </w:rPr>
            </w:pPr>
          </w:p>
          <w:p w:rsidR="00F52D2F" w:rsidRPr="001D311E" w:rsidRDefault="001253C5">
            <w:pPr>
              <w:spacing w:before="40"/>
              <w:rPr>
                <w:lang w:val="en-GB"/>
              </w:rPr>
            </w:pPr>
            <w:r w:rsidRPr="001D311E">
              <w:rPr>
                <w:color w:val="1B2A4A"/>
                <w:lang w:val="en-GB"/>
              </w:rPr>
              <w:t>Lawyers: "What do you use when the right rule doesn't exist yet? When the situation is genuinely new and no framework covers it?"</w:t>
            </w:r>
          </w:p>
          <w:p w:rsidR="00F52D2F" w:rsidRPr="001D311E" w:rsidRDefault="00F52D2F">
            <w:pPr>
              <w:spacing w:before="40"/>
              <w:rPr>
                <w:lang w:val="en-GB"/>
              </w:rPr>
            </w:pPr>
          </w:p>
          <w:p w:rsidR="00F52D2F" w:rsidRPr="001D311E" w:rsidRDefault="001253C5">
            <w:pPr>
              <w:spacing w:before="40"/>
              <w:rPr>
                <w:lang w:val="en-GB"/>
              </w:rPr>
            </w:pPr>
            <w:r w:rsidRPr="001D311E">
              <w:rPr>
                <w:color w:val="1B2A4A"/>
                <w:lang w:val="en-GB"/>
              </w:rPr>
              <w:t>What you're listening for on the subtraction question: discomfort. The resistance to the idea of removing anything from a compliance framework is itself the bias.</w:t>
            </w:r>
          </w:p>
        </w:tc>
      </w:tr>
    </w:tbl>
    <w:p w:rsidR="00F52D2F" w:rsidRPr="001D311E" w:rsidRDefault="00F52D2F">
      <w:pPr>
        <w:spacing w:before="60"/>
        <w:rPr>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8160"/>
      </w:tblGrid>
      <w:tr w:rsidR="00F52D2F">
        <w:tc>
          <w:tcPr>
            <w:tcW w:w="1200" w:type="dxa"/>
            <w:tcBorders>
              <w:top w:val="single" w:sz="1" w:space="0" w:color="B91C1C"/>
              <w:left w:val="single" w:sz="1" w:space="0" w:color="B91C1C"/>
              <w:bottom w:val="single" w:sz="1" w:space="0" w:color="B91C1C"/>
              <w:right w:val="single" w:sz="1" w:space="0" w:color="B91C1C"/>
            </w:tcBorders>
            <w:shd w:val="clear" w:color="auto" w:fill="B91C1C"/>
            <w:tcMar>
              <w:top w:w="100" w:type="dxa"/>
              <w:left w:w="100" w:type="dxa"/>
              <w:bottom w:w="100" w:type="dxa"/>
              <w:right w:w="100" w:type="dxa"/>
            </w:tcMar>
            <w:vAlign w:val="center"/>
          </w:tcPr>
          <w:p w:rsidR="00F52D2F" w:rsidRDefault="001253C5">
            <w:pPr>
              <w:jc w:val="center"/>
            </w:pPr>
            <w:r>
              <w:rPr>
                <w:b/>
                <w:bCs/>
                <w:color w:val="FFFFFF"/>
                <w:sz w:val="17"/>
                <w:szCs w:val="17"/>
              </w:rPr>
              <w:t>WATCH-OUT</w:t>
            </w:r>
          </w:p>
        </w:tc>
        <w:tc>
          <w:tcPr>
            <w:tcW w:w="8160" w:type="dxa"/>
            <w:tcBorders>
              <w:top w:val="single" w:sz="1" w:space="0" w:color="B91C1C"/>
              <w:left w:val="single" w:sz="1" w:space="0" w:color="B91C1C"/>
              <w:bottom w:val="single" w:sz="1" w:space="0" w:color="B91C1C"/>
              <w:right w:val="single" w:sz="1" w:space="0" w:color="B91C1C"/>
            </w:tcBorders>
            <w:shd w:val="clear" w:color="auto" w:fill="F8FAFC"/>
            <w:tcMar>
              <w:top w:w="100" w:type="dxa"/>
              <w:left w:w="160" w:type="dxa"/>
              <w:bottom w:w="100" w:type="dxa"/>
              <w:right w:w="120" w:type="dxa"/>
            </w:tcMar>
          </w:tcPr>
          <w:p w:rsidR="00F52D2F" w:rsidRDefault="001253C5">
            <w:r w:rsidRPr="001D311E">
              <w:rPr>
                <w:color w:val="1B2A4A"/>
                <w:lang w:val="en-GB"/>
              </w:rPr>
              <w:t xml:space="preserve">The snake oil observation about the commercial GRC ecosystem can land defensively if someone in the room works for a framework consultancy or certification body. Hold it as a diagnostic, not an attack: 'I'm not saying the frameworks are worthless. The judgment to use them intelligently is more valuable than the frameworks themselves.' </w:t>
            </w:r>
            <w:proofErr w:type="spellStart"/>
            <w:r>
              <w:rPr>
                <w:color w:val="1B2A4A"/>
              </w:rPr>
              <w:t>That</w:t>
            </w:r>
            <w:proofErr w:type="spellEnd"/>
            <w:r>
              <w:rPr>
                <w:color w:val="1B2A4A"/>
              </w:rPr>
              <w:t xml:space="preserve"> </w:t>
            </w:r>
            <w:proofErr w:type="spellStart"/>
            <w:r>
              <w:rPr>
                <w:color w:val="1B2A4A"/>
              </w:rPr>
              <w:t>framing</w:t>
            </w:r>
            <w:proofErr w:type="spellEnd"/>
            <w:r>
              <w:rPr>
                <w:color w:val="1B2A4A"/>
              </w:rPr>
              <w:t xml:space="preserve"> is </w:t>
            </w:r>
            <w:proofErr w:type="spellStart"/>
            <w:r>
              <w:rPr>
                <w:color w:val="1B2A4A"/>
              </w:rPr>
              <w:t>honest</w:t>
            </w:r>
            <w:proofErr w:type="spellEnd"/>
            <w:r>
              <w:rPr>
                <w:color w:val="1B2A4A"/>
              </w:rPr>
              <w:t xml:space="preserve"> and </w:t>
            </w:r>
            <w:proofErr w:type="spellStart"/>
            <w:r>
              <w:rPr>
                <w:color w:val="1B2A4A"/>
              </w:rPr>
              <w:t>usually</w:t>
            </w:r>
            <w:proofErr w:type="spellEnd"/>
            <w:r>
              <w:rPr>
                <w:color w:val="1B2A4A"/>
              </w:rPr>
              <w:t xml:space="preserve"> </w:t>
            </w:r>
            <w:proofErr w:type="spellStart"/>
            <w:r>
              <w:rPr>
                <w:color w:val="1B2A4A"/>
              </w:rPr>
              <w:t>disarms</w:t>
            </w:r>
            <w:proofErr w:type="spellEnd"/>
            <w:r>
              <w:rPr>
                <w:color w:val="1B2A4A"/>
              </w:rPr>
              <w:t xml:space="preserve"> the </w:t>
            </w:r>
            <w:proofErr w:type="spellStart"/>
            <w:r>
              <w:rPr>
                <w:color w:val="1B2A4A"/>
              </w:rPr>
              <w:t>defensiveness</w:t>
            </w:r>
            <w:proofErr w:type="spellEnd"/>
            <w:r>
              <w:rPr>
                <w:color w:val="1B2A4A"/>
              </w:rPr>
              <w:t>.</w:t>
            </w:r>
          </w:p>
        </w:tc>
      </w:tr>
    </w:tbl>
    <w:p w:rsidR="00F52D2F" w:rsidRDefault="00F52D2F">
      <w:pPr>
        <w:spacing w:before="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60"/>
        <w:gridCol w:w="1800"/>
        <w:gridCol w:w="1800"/>
      </w:tblGrid>
      <w:tr w:rsidR="00F52D2F">
        <w:tc>
          <w:tcPr>
            <w:tcW w:w="5760" w:type="dxa"/>
            <w:tcBorders>
              <w:top w:val="none" w:sz="0" w:space="0" w:color="FFFFFF"/>
              <w:left w:val="none" w:sz="0" w:space="0" w:color="FFFFFF"/>
              <w:bottom w:val="none" w:sz="0" w:space="0" w:color="FFFFFF"/>
              <w:right w:val="none" w:sz="0" w:space="0" w:color="FFFFFF"/>
            </w:tcBorders>
            <w:shd w:val="clear" w:color="auto" w:fill="0D7377"/>
            <w:tcMar>
              <w:top w:w="80" w:type="dxa"/>
              <w:left w:w="160" w:type="dxa"/>
              <w:bottom w:w="80" w:type="dxa"/>
              <w:right w:w="120" w:type="dxa"/>
            </w:tcMar>
          </w:tcPr>
          <w:p w:rsidR="00F52D2F" w:rsidRDefault="001253C5">
            <w:r>
              <w:rPr>
                <w:b/>
                <w:bCs/>
                <w:color w:val="FFFFFF"/>
                <w:sz w:val="22"/>
                <w:szCs w:val="22"/>
              </w:rPr>
              <w:t>CLOSING — The Landing</w:t>
            </w:r>
          </w:p>
        </w:tc>
        <w:tc>
          <w:tcPr>
            <w:tcW w:w="1800" w:type="dxa"/>
            <w:tcBorders>
              <w:top w:val="none" w:sz="0" w:space="0" w:color="FFFFFF"/>
              <w:left w:val="none" w:sz="0" w:space="0" w:color="FFFFFF"/>
              <w:bottom w:val="none" w:sz="0" w:space="0" w:color="FFFFFF"/>
              <w:right w:val="none" w:sz="0" w:space="0" w:color="FFFFFF"/>
            </w:tcBorders>
            <w:shd w:val="clear" w:color="auto" w:fill="0A5B5E"/>
            <w:tcMar>
              <w:top w:w="80" w:type="dxa"/>
              <w:left w:w="120" w:type="dxa"/>
              <w:bottom w:w="80" w:type="dxa"/>
              <w:right w:w="120" w:type="dxa"/>
            </w:tcMar>
            <w:vAlign w:val="center"/>
          </w:tcPr>
          <w:p w:rsidR="00F52D2F" w:rsidRDefault="001253C5">
            <w:pPr>
              <w:jc w:val="center"/>
            </w:pPr>
            <w:r>
              <w:rPr>
                <w:color w:val="FFFFFF"/>
                <w:sz w:val="18"/>
                <w:szCs w:val="18"/>
              </w:rPr>
              <w:t>1:25 — 1:42</w:t>
            </w:r>
          </w:p>
        </w:tc>
        <w:tc>
          <w:tcPr>
            <w:tcW w:w="1800" w:type="dxa"/>
            <w:tcBorders>
              <w:top w:val="none" w:sz="0" w:space="0" w:color="FFFFFF"/>
              <w:left w:val="none" w:sz="0" w:space="0" w:color="FFFFFF"/>
              <w:bottom w:val="none" w:sz="0" w:space="0" w:color="FFFFFF"/>
              <w:right w:val="none" w:sz="0" w:space="0" w:color="FFFFFF"/>
            </w:tcBorders>
            <w:shd w:val="clear" w:color="auto" w:fill="084F52"/>
            <w:tcMar>
              <w:top w:w="80" w:type="dxa"/>
              <w:left w:w="120" w:type="dxa"/>
              <w:bottom w:w="80" w:type="dxa"/>
              <w:right w:w="120" w:type="dxa"/>
            </w:tcMar>
            <w:vAlign w:val="center"/>
          </w:tcPr>
          <w:p w:rsidR="00F52D2F" w:rsidRDefault="001253C5">
            <w:pPr>
              <w:jc w:val="center"/>
            </w:pPr>
            <w:r>
              <w:rPr>
                <w:color w:val="FFFFFF"/>
                <w:sz w:val="18"/>
                <w:szCs w:val="18"/>
              </w:rPr>
              <w:t>Slide 12</w:t>
            </w:r>
          </w:p>
        </w:tc>
      </w:tr>
    </w:tbl>
    <w:p w:rsidR="00F52D2F" w:rsidRDefault="00F52D2F">
      <w:pPr>
        <w:spacing w:before="80"/>
      </w:pPr>
    </w:p>
    <w:p w:rsidR="00F52D2F" w:rsidRDefault="001253C5">
      <w:pPr>
        <w:spacing w:before="200" w:after="60"/>
      </w:pPr>
      <w:proofErr w:type="spellStart"/>
      <w:r>
        <w:rPr>
          <w:b/>
          <w:bCs/>
          <w:color w:val="0D7377"/>
          <w:sz w:val="21"/>
          <w:szCs w:val="21"/>
        </w:rPr>
        <w:t>What</w:t>
      </w:r>
      <w:proofErr w:type="spellEnd"/>
      <w:r>
        <w:rPr>
          <w:b/>
          <w:bCs/>
          <w:color w:val="0D7377"/>
          <w:sz w:val="21"/>
          <w:szCs w:val="21"/>
        </w:rPr>
        <w:t xml:space="preserve"> </w:t>
      </w:r>
      <w:proofErr w:type="spellStart"/>
      <w:r>
        <w:rPr>
          <w:b/>
          <w:bCs/>
          <w:color w:val="0D7377"/>
          <w:sz w:val="21"/>
          <w:szCs w:val="21"/>
        </w:rPr>
        <w:t>this</w:t>
      </w:r>
      <w:proofErr w:type="spellEnd"/>
      <w:r>
        <w:rPr>
          <w:b/>
          <w:bCs/>
          <w:color w:val="0D7377"/>
          <w:sz w:val="21"/>
          <w:szCs w:val="21"/>
        </w:rPr>
        <w:t xml:space="preserve"> </w:t>
      </w:r>
      <w:proofErr w:type="spellStart"/>
      <w:r>
        <w:rPr>
          <w:b/>
          <w:bCs/>
          <w:color w:val="0D7377"/>
          <w:sz w:val="21"/>
          <w:szCs w:val="21"/>
        </w:rPr>
        <w:t>section</w:t>
      </w:r>
      <w:proofErr w:type="spellEnd"/>
      <w:r>
        <w:rPr>
          <w:b/>
          <w:bCs/>
          <w:color w:val="0D7377"/>
          <w:sz w:val="21"/>
          <w:szCs w:val="21"/>
        </w:rPr>
        <w:t xml:space="preserve"> is </w:t>
      </w:r>
      <w:proofErr w:type="spellStart"/>
      <w:r>
        <w:rPr>
          <w:b/>
          <w:bCs/>
          <w:color w:val="0D7377"/>
          <w:sz w:val="21"/>
          <w:szCs w:val="21"/>
        </w:rPr>
        <w:t>doing</w:t>
      </w:r>
      <w:proofErr w:type="spellEnd"/>
    </w:p>
    <w:p w:rsidR="00F52D2F" w:rsidRPr="001D311E" w:rsidRDefault="001253C5">
      <w:pPr>
        <w:spacing w:before="50" w:after="50"/>
        <w:rPr>
          <w:lang w:val="en-GB"/>
        </w:rPr>
      </w:pPr>
      <w:r w:rsidRPr="001D311E">
        <w:rPr>
          <w:lang w:val="en-GB"/>
        </w:rPr>
        <w:t>Landing the whole evening. Not summarising — that would undo the productive uncertainty you have created. Returning to the definitions they wrote 90 minutes ago. Revealing the full ladder. Leaving them with one question they carry to Hernan and beyond.</w:t>
      </w:r>
    </w:p>
    <w:p w:rsidR="00F52D2F" w:rsidRPr="001D311E" w:rsidRDefault="00F52D2F">
      <w:pPr>
        <w:spacing w:before="60"/>
        <w:rPr>
          <w:lang w:val="en-GB"/>
        </w:rPr>
      </w:pPr>
    </w:p>
    <w:p w:rsidR="00F52D2F" w:rsidRDefault="001253C5">
      <w:pPr>
        <w:spacing w:before="200" w:after="60"/>
      </w:pPr>
      <w:r>
        <w:rPr>
          <w:b/>
          <w:bCs/>
          <w:color w:val="0D7377"/>
          <w:sz w:val="21"/>
          <w:szCs w:val="21"/>
        </w:rPr>
        <w:t xml:space="preserve">Key </w:t>
      </w:r>
      <w:proofErr w:type="spellStart"/>
      <w:r>
        <w:rPr>
          <w:b/>
          <w:bCs/>
          <w:color w:val="0D7377"/>
          <w:sz w:val="21"/>
          <w:szCs w:val="21"/>
        </w:rPr>
        <w:t>moves</w:t>
      </w:r>
      <w:proofErr w:type="spellEnd"/>
    </w:p>
    <w:p w:rsidR="00F52D2F" w:rsidRPr="001D311E" w:rsidRDefault="001253C5">
      <w:pPr>
        <w:pStyle w:val="Listeafsnit"/>
        <w:numPr>
          <w:ilvl w:val="0"/>
          <w:numId w:val="2"/>
        </w:numPr>
        <w:spacing w:before="36" w:after="36"/>
        <w:rPr>
          <w:lang w:val="en-GB"/>
        </w:rPr>
      </w:pPr>
      <w:r w:rsidRPr="001D311E">
        <w:rPr>
          <w:lang w:val="en-GB"/>
        </w:rPr>
        <w:t>Definition reflection: private, not performed. 'Think about what you wrote at the start of Session 1. Your definition in your own words. Would you write something different now?' Thirty seconds silence. Don't collect answers. This is for them, not the room.</w:t>
      </w:r>
    </w:p>
    <w:p w:rsidR="00F52D2F" w:rsidRPr="001D311E" w:rsidRDefault="001253C5">
      <w:pPr>
        <w:pStyle w:val="Listeafsnit"/>
        <w:numPr>
          <w:ilvl w:val="0"/>
          <w:numId w:val="2"/>
        </w:numPr>
        <w:spacing w:before="36" w:after="36"/>
        <w:rPr>
          <w:lang w:val="en-GB"/>
        </w:rPr>
      </w:pPr>
      <w:r w:rsidRPr="001D311E">
        <w:rPr>
          <w:lang w:val="en-GB"/>
        </w:rPr>
        <w:t>Full ladder revealed for the first time. Thirty seconds to read. Then two questions in sequence: where is your organisation? And where are you as an individual professional? Note that these are often different numbers — and the gap between them is where most of the frustration in this field lives. Name that explicitly. You can be an L4 professional in an L2 organisation. That is not a personal failure. It is a structural position. Understanding it as structural rather than personal is what allows you to stay in the work without burning out.</w:t>
      </w:r>
    </w:p>
    <w:p w:rsidR="00F52D2F" w:rsidRPr="001D311E" w:rsidRDefault="001253C5">
      <w:pPr>
        <w:pStyle w:val="Listeafsnit"/>
        <w:numPr>
          <w:ilvl w:val="0"/>
          <w:numId w:val="2"/>
        </w:numPr>
        <w:spacing w:before="36" w:after="36"/>
        <w:rPr>
          <w:lang w:val="en-GB"/>
        </w:rPr>
      </w:pPr>
      <w:r w:rsidRPr="001D311E">
        <w:rPr>
          <w:lang w:val="en-GB"/>
        </w:rPr>
        <w:lastRenderedPageBreak/>
        <w:t>IRM paper distributed after the final question, not before. It arrives as a map of territory they have just walked through, not as a framework to absorb.</w:t>
      </w:r>
    </w:p>
    <w:p w:rsidR="00F52D2F" w:rsidRPr="001D311E" w:rsidRDefault="00F52D2F">
      <w:pPr>
        <w:spacing w:before="60"/>
        <w:rPr>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8160"/>
      </w:tblGrid>
      <w:tr w:rsidR="00F52D2F" w:rsidRPr="00377C58">
        <w:tc>
          <w:tcPr>
            <w:tcW w:w="1200" w:type="dxa"/>
            <w:tcBorders>
              <w:top w:val="single" w:sz="1" w:space="0" w:color="0D7377"/>
              <w:left w:val="single" w:sz="1" w:space="0" w:color="0D7377"/>
              <w:bottom w:val="single" w:sz="1" w:space="0" w:color="0D7377"/>
              <w:right w:val="single" w:sz="1" w:space="0" w:color="0D7377"/>
            </w:tcBorders>
            <w:shd w:val="clear" w:color="auto" w:fill="0D7377"/>
            <w:tcMar>
              <w:top w:w="100" w:type="dxa"/>
              <w:left w:w="100" w:type="dxa"/>
              <w:bottom w:w="100" w:type="dxa"/>
              <w:right w:w="100" w:type="dxa"/>
            </w:tcMar>
            <w:vAlign w:val="center"/>
          </w:tcPr>
          <w:p w:rsidR="00F52D2F" w:rsidRDefault="001253C5">
            <w:pPr>
              <w:jc w:val="center"/>
            </w:pPr>
            <w:r>
              <w:rPr>
                <w:b/>
                <w:bCs/>
                <w:color w:val="FFFFFF"/>
                <w:sz w:val="17"/>
                <w:szCs w:val="17"/>
              </w:rPr>
              <w:t>QUESTION</w:t>
            </w:r>
          </w:p>
        </w:tc>
        <w:tc>
          <w:tcPr>
            <w:tcW w:w="8160" w:type="dxa"/>
            <w:tcBorders>
              <w:top w:val="single" w:sz="1" w:space="0" w:color="0D7377"/>
              <w:left w:val="single" w:sz="1" w:space="0" w:color="0D7377"/>
              <w:bottom w:val="single" w:sz="1" w:space="0" w:color="0D7377"/>
              <w:right w:val="single" w:sz="1" w:space="0" w:color="0D7377"/>
            </w:tcBorders>
            <w:shd w:val="clear" w:color="auto" w:fill="F8FAFC"/>
            <w:tcMar>
              <w:top w:w="100" w:type="dxa"/>
              <w:left w:w="160" w:type="dxa"/>
              <w:bottom w:w="100" w:type="dxa"/>
              <w:right w:w="120" w:type="dxa"/>
            </w:tcMar>
          </w:tcPr>
          <w:p w:rsidR="00F52D2F" w:rsidRPr="001D311E" w:rsidRDefault="001253C5">
            <w:pPr>
              <w:rPr>
                <w:lang w:val="en-GB"/>
              </w:rPr>
            </w:pPr>
            <w:r w:rsidRPr="001D311E">
              <w:rPr>
                <w:color w:val="1B2A4A"/>
                <w:lang w:val="en-GB"/>
              </w:rPr>
              <w:t>"What is the one conversation that isn't happening between governance, risk and compliance in your organisation — and what would it take to have it?"</w:t>
            </w:r>
          </w:p>
          <w:p w:rsidR="00F52D2F" w:rsidRPr="001D311E" w:rsidRDefault="00F52D2F">
            <w:pPr>
              <w:spacing w:before="40"/>
              <w:rPr>
                <w:lang w:val="en-GB"/>
              </w:rPr>
            </w:pPr>
          </w:p>
          <w:p w:rsidR="00F52D2F" w:rsidRPr="001D311E" w:rsidRDefault="001253C5">
            <w:pPr>
              <w:spacing w:before="40"/>
              <w:rPr>
                <w:lang w:val="en-GB"/>
              </w:rPr>
            </w:pPr>
            <w:r w:rsidRPr="001D311E">
              <w:rPr>
                <w:color w:val="1B2A4A"/>
                <w:lang w:val="en-GB"/>
              </w:rPr>
              <w:t>Thirty seconds silence. Then three answers. Don't evaluate. Don't synthesise.</w:t>
            </w:r>
          </w:p>
          <w:p w:rsidR="00F52D2F" w:rsidRPr="001D311E" w:rsidRDefault="00F52D2F">
            <w:pPr>
              <w:spacing w:before="40"/>
              <w:rPr>
                <w:lang w:val="en-GB"/>
              </w:rPr>
            </w:pPr>
          </w:p>
          <w:p w:rsidR="00F52D2F" w:rsidRPr="001D311E" w:rsidRDefault="001253C5">
            <w:pPr>
              <w:spacing w:before="40"/>
              <w:rPr>
                <w:lang w:val="en-GB"/>
              </w:rPr>
            </w:pPr>
            <w:r w:rsidRPr="001D311E">
              <w:rPr>
                <w:color w:val="1B2A4A"/>
                <w:lang w:val="en-GB"/>
              </w:rPr>
              <w:t>Then — last words of the session: "That conversation — whatever you just described — is what this session has been about. Not COSO. Not the Three Lines. Not ISO 37301. The conversation. Hernan is going to spend the next hour on what it takes to actually have it."</w:t>
            </w:r>
          </w:p>
          <w:p w:rsidR="00F52D2F" w:rsidRPr="001D311E" w:rsidRDefault="00F52D2F">
            <w:pPr>
              <w:spacing w:before="40"/>
              <w:rPr>
                <w:lang w:val="en-GB"/>
              </w:rPr>
            </w:pPr>
          </w:p>
          <w:p w:rsidR="00F52D2F" w:rsidRPr="001D311E" w:rsidRDefault="001253C5">
            <w:pPr>
              <w:spacing w:before="40"/>
              <w:rPr>
                <w:lang w:val="en-GB"/>
              </w:rPr>
            </w:pPr>
            <w:r w:rsidRPr="001D311E">
              <w:rPr>
                <w:color w:val="1B2A4A"/>
                <w:lang w:val="en-GB"/>
              </w:rPr>
              <w:t>Hand out IRM paper. Stop.</w:t>
            </w:r>
          </w:p>
        </w:tc>
      </w:tr>
    </w:tbl>
    <w:p w:rsidR="00F52D2F" w:rsidRPr="001D311E" w:rsidRDefault="00F52D2F">
      <w:pPr>
        <w:spacing w:before="60"/>
        <w:rPr>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8160"/>
      </w:tblGrid>
      <w:tr w:rsidR="00F52D2F">
        <w:tc>
          <w:tcPr>
            <w:tcW w:w="1200" w:type="dxa"/>
            <w:tcBorders>
              <w:top w:val="single" w:sz="1" w:space="0" w:color="B91C1C"/>
              <w:left w:val="single" w:sz="1" w:space="0" w:color="B91C1C"/>
              <w:bottom w:val="single" w:sz="1" w:space="0" w:color="B91C1C"/>
              <w:right w:val="single" w:sz="1" w:space="0" w:color="B91C1C"/>
            </w:tcBorders>
            <w:shd w:val="clear" w:color="auto" w:fill="B91C1C"/>
            <w:tcMar>
              <w:top w:w="100" w:type="dxa"/>
              <w:left w:w="100" w:type="dxa"/>
              <w:bottom w:w="100" w:type="dxa"/>
              <w:right w:w="100" w:type="dxa"/>
            </w:tcMar>
            <w:vAlign w:val="center"/>
          </w:tcPr>
          <w:p w:rsidR="00F52D2F" w:rsidRDefault="001253C5">
            <w:pPr>
              <w:jc w:val="center"/>
            </w:pPr>
            <w:r>
              <w:rPr>
                <w:b/>
                <w:bCs/>
                <w:color w:val="FFFFFF"/>
                <w:sz w:val="17"/>
                <w:szCs w:val="17"/>
              </w:rPr>
              <w:t>WATCH-OUT</w:t>
            </w:r>
          </w:p>
        </w:tc>
        <w:tc>
          <w:tcPr>
            <w:tcW w:w="8160" w:type="dxa"/>
            <w:tcBorders>
              <w:top w:val="single" w:sz="1" w:space="0" w:color="B91C1C"/>
              <w:left w:val="single" w:sz="1" w:space="0" w:color="B91C1C"/>
              <w:bottom w:val="single" w:sz="1" w:space="0" w:color="B91C1C"/>
              <w:right w:val="single" w:sz="1" w:space="0" w:color="B91C1C"/>
            </w:tcBorders>
            <w:shd w:val="clear" w:color="auto" w:fill="F8FAFC"/>
            <w:tcMar>
              <w:top w:w="100" w:type="dxa"/>
              <w:left w:w="160" w:type="dxa"/>
              <w:bottom w:w="100" w:type="dxa"/>
              <w:right w:w="120" w:type="dxa"/>
            </w:tcMar>
          </w:tcPr>
          <w:p w:rsidR="00F52D2F" w:rsidRDefault="001253C5">
            <w:r w:rsidRPr="001D311E">
              <w:rPr>
                <w:color w:val="1B2A4A"/>
                <w:lang w:val="en-GB"/>
              </w:rPr>
              <w:t xml:space="preserve">The instinct at the end of 80 minutes is to summarise, to give them something to hold onto, to make the learning explicit. Resist it entirely. A neat summary would undo the productive discomfort of the last 80 minutes. The final question is unanswered because the answer belongs to them. </w:t>
            </w:r>
            <w:r>
              <w:rPr>
                <w:color w:val="1B2A4A"/>
              </w:rPr>
              <w:t xml:space="preserve">Trust </w:t>
            </w:r>
            <w:proofErr w:type="spellStart"/>
            <w:r>
              <w:rPr>
                <w:color w:val="1B2A4A"/>
              </w:rPr>
              <w:t>that</w:t>
            </w:r>
            <w:proofErr w:type="spellEnd"/>
            <w:r>
              <w:rPr>
                <w:color w:val="1B2A4A"/>
              </w:rPr>
              <w:t>.</w:t>
            </w:r>
          </w:p>
        </w:tc>
      </w:tr>
    </w:tbl>
    <w:p w:rsidR="00F52D2F" w:rsidRDefault="00F52D2F">
      <w:pPr>
        <w:spacing w:before="200"/>
      </w:pPr>
    </w:p>
    <w:p w:rsidR="00F52D2F" w:rsidRDefault="00F52D2F">
      <w:pPr>
        <w:pBdr>
          <w:bottom w:val="single" w:sz="4" w:space="0" w:color="CBD5E1"/>
        </w:pBdr>
        <w:spacing w:before="80" w:after="80"/>
      </w:pPr>
    </w:p>
    <w:p w:rsidR="00F52D2F" w:rsidRDefault="001253C5">
      <w:pPr>
        <w:spacing w:before="50" w:after="50"/>
      </w:pPr>
      <w:r>
        <w:rPr>
          <w:color w:val="94A3B8"/>
          <w:sz w:val="17"/>
          <w:szCs w:val="17"/>
        </w:rPr>
        <w:t xml:space="preserve">End of </w:t>
      </w:r>
      <w:proofErr w:type="spellStart"/>
      <w:r>
        <w:rPr>
          <w:color w:val="94A3B8"/>
          <w:sz w:val="17"/>
          <w:szCs w:val="17"/>
        </w:rPr>
        <w:t>teaching</w:t>
      </w:r>
      <w:proofErr w:type="spellEnd"/>
      <w:r>
        <w:rPr>
          <w:color w:val="94A3B8"/>
          <w:sz w:val="17"/>
          <w:szCs w:val="17"/>
        </w:rPr>
        <w:t xml:space="preserve"> notes.</w:t>
      </w:r>
    </w:p>
    <w:p w:rsidR="00F52D2F" w:rsidRPr="001D311E" w:rsidRDefault="001253C5">
      <w:pPr>
        <w:spacing w:before="50" w:after="50"/>
        <w:rPr>
          <w:lang w:val="en-GB"/>
        </w:rPr>
      </w:pPr>
      <w:r w:rsidRPr="001D311E">
        <w:rPr>
          <w:color w:val="94A3B8"/>
          <w:sz w:val="17"/>
          <w:szCs w:val="17"/>
          <w:lang w:val="en-GB"/>
        </w:rPr>
        <w:t>The material is strong. Trust the questions — and trust the silence.</w:t>
      </w:r>
    </w:p>
    <w:sectPr w:rsidR="00F52D2F" w:rsidRPr="001D311E">
      <w:headerReference w:type="default" r:id="rId7"/>
      <w:footerReference w:type="default" r:id="rId8"/>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7C8C" w:rsidRDefault="009E7C8C">
      <w:r>
        <w:separator/>
      </w:r>
    </w:p>
  </w:endnote>
  <w:endnote w:type="continuationSeparator" w:id="0">
    <w:p w:rsidR="009E7C8C" w:rsidRDefault="009E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D2F" w:rsidRDefault="001253C5">
    <w:pPr>
      <w:pBdr>
        <w:top w:val="single" w:sz="4" w:space="0" w:color="CBD5E1"/>
      </w:pBdr>
      <w:spacing w:before="60"/>
    </w:pPr>
    <w:proofErr w:type="spellStart"/>
    <w:r>
      <w:rPr>
        <w:color w:val="94A3B8"/>
        <w:sz w:val="16"/>
        <w:szCs w:val="16"/>
      </w:rPr>
      <w:t>Confidential</w:t>
    </w:r>
    <w:proofErr w:type="spellEnd"/>
    <w:r>
      <w:rPr>
        <w:color w:val="94A3B8"/>
        <w:sz w:val="16"/>
        <w:szCs w:val="16"/>
      </w:rPr>
      <w:t xml:space="preserve"> — for </w:t>
    </w:r>
    <w:proofErr w:type="spellStart"/>
    <w:r>
      <w:rPr>
        <w:color w:val="94A3B8"/>
        <w:sz w:val="16"/>
        <w:szCs w:val="16"/>
      </w:rPr>
      <w:t>internal</w:t>
    </w:r>
    <w:proofErr w:type="spellEnd"/>
    <w:r>
      <w:rPr>
        <w:color w:val="94A3B8"/>
        <w:sz w:val="16"/>
        <w:szCs w:val="16"/>
      </w:rPr>
      <w:t xml:space="preserve"> </w:t>
    </w:r>
    <w:proofErr w:type="spellStart"/>
    <w:r>
      <w:rPr>
        <w:color w:val="94A3B8"/>
        <w:sz w:val="16"/>
        <w:szCs w:val="16"/>
      </w:rPr>
      <w:t>use</w:t>
    </w:r>
    <w:proofErr w:type="spellEnd"/>
    <w:r>
      <w:rPr>
        <w:color w:val="94A3B8"/>
        <w:sz w:val="16"/>
        <w:szCs w:val="16"/>
      </w:rPr>
      <w:t xml:space="preserve"> </w:t>
    </w:r>
    <w:proofErr w:type="spellStart"/>
    <w:r>
      <w:rPr>
        <w:color w:val="94A3B8"/>
        <w:sz w:val="16"/>
        <w:szCs w:val="16"/>
      </w:rPr>
      <w:t>only</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7C8C" w:rsidRDefault="009E7C8C">
      <w:r>
        <w:separator/>
      </w:r>
    </w:p>
  </w:footnote>
  <w:footnote w:type="continuationSeparator" w:id="0">
    <w:p w:rsidR="009E7C8C" w:rsidRDefault="009E7C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D2F" w:rsidRPr="001D311E" w:rsidRDefault="001253C5">
    <w:pPr>
      <w:pBdr>
        <w:bottom w:val="single" w:sz="6" w:space="0" w:color="0D7377"/>
      </w:pBdr>
      <w:spacing w:after="80"/>
      <w:rPr>
        <w:lang w:val="en-GB"/>
      </w:rPr>
    </w:pPr>
    <w:r w:rsidRPr="001D311E">
      <w:rPr>
        <w:b/>
        <w:bCs/>
        <w:color w:val="1B2A4A"/>
        <w:sz w:val="18"/>
        <w:szCs w:val="18"/>
        <w:lang w:val="en-GB"/>
      </w:rPr>
      <w:t>TEACHING NOTES  —  GRC Sessions 1 &amp; 2</w:t>
    </w:r>
    <w:r w:rsidRPr="001D311E">
      <w:rPr>
        <w:sz w:val="17"/>
        <w:szCs w:val="17"/>
        <w:lang w:val="en-GB"/>
      </w:rPr>
      <w:t xml:space="preserve">   ·   Martin Falck-Hansen  ·   IE Law School  ·   May 5, 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5D311B"/>
    <w:multiLevelType w:val="hybridMultilevel"/>
    <w:tmpl w:val="4BA46B44"/>
    <w:lvl w:ilvl="0" w:tplc="78D26D28">
      <w:start w:val="1"/>
      <w:numFmt w:val="bullet"/>
      <w:lvlText w:val="•"/>
      <w:lvlJc w:val="left"/>
      <w:pPr>
        <w:ind w:left="640" w:hanging="320"/>
      </w:pPr>
    </w:lvl>
    <w:lvl w:ilvl="1" w:tplc="F3523A0E">
      <w:start w:val="1"/>
      <w:numFmt w:val="bullet"/>
      <w:lvlText w:val="◦"/>
      <w:lvlJc w:val="left"/>
      <w:pPr>
        <w:ind w:left="960" w:hanging="320"/>
      </w:pPr>
    </w:lvl>
    <w:lvl w:ilvl="2" w:tplc="B3540CA0">
      <w:numFmt w:val="decimal"/>
      <w:lvlText w:val=""/>
      <w:lvlJc w:val="left"/>
    </w:lvl>
    <w:lvl w:ilvl="3" w:tplc="9CC4A356">
      <w:numFmt w:val="decimal"/>
      <w:lvlText w:val=""/>
      <w:lvlJc w:val="left"/>
    </w:lvl>
    <w:lvl w:ilvl="4" w:tplc="AE5A3BF2">
      <w:numFmt w:val="decimal"/>
      <w:lvlText w:val=""/>
      <w:lvlJc w:val="left"/>
    </w:lvl>
    <w:lvl w:ilvl="5" w:tplc="032868E8">
      <w:numFmt w:val="decimal"/>
      <w:lvlText w:val=""/>
      <w:lvlJc w:val="left"/>
    </w:lvl>
    <w:lvl w:ilvl="6" w:tplc="10F01D38">
      <w:numFmt w:val="decimal"/>
      <w:lvlText w:val=""/>
      <w:lvlJc w:val="left"/>
    </w:lvl>
    <w:lvl w:ilvl="7" w:tplc="7480B568">
      <w:numFmt w:val="decimal"/>
      <w:lvlText w:val=""/>
      <w:lvlJc w:val="left"/>
    </w:lvl>
    <w:lvl w:ilvl="8" w:tplc="EA2AD92C">
      <w:numFmt w:val="decimal"/>
      <w:lvlText w:val=""/>
      <w:lvlJc w:val="left"/>
    </w:lvl>
  </w:abstractNum>
  <w:abstractNum w:abstractNumId="1" w15:restartNumberingAfterBreak="0">
    <w:nsid w:val="70C45606"/>
    <w:multiLevelType w:val="hybridMultilevel"/>
    <w:tmpl w:val="C49ADE88"/>
    <w:lvl w:ilvl="0" w:tplc="86E0C5A8">
      <w:start w:val="1"/>
      <w:numFmt w:val="bullet"/>
      <w:lvlText w:val="●"/>
      <w:lvlJc w:val="left"/>
      <w:pPr>
        <w:ind w:left="720" w:hanging="360"/>
      </w:pPr>
    </w:lvl>
    <w:lvl w:ilvl="1" w:tplc="5310DCCA">
      <w:start w:val="1"/>
      <w:numFmt w:val="bullet"/>
      <w:lvlText w:val="○"/>
      <w:lvlJc w:val="left"/>
      <w:pPr>
        <w:ind w:left="1440" w:hanging="360"/>
      </w:pPr>
    </w:lvl>
    <w:lvl w:ilvl="2" w:tplc="F460ABF8">
      <w:start w:val="1"/>
      <w:numFmt w:val="bullet"/>
      <w:lvlText w:val="■"/>
      <w:lvlJc w:val="left"/>
      <w:pPr>
        <w:ind w:left="2160" w:hanging="360"/>
      </w:pPr>
    </w:lvl>
    <w:lvl w:ilvl="3" w:tplc="FD28959E">
      <w:start w:val="1"/>
      <w:numFmt w:val="bullet"/>
      <w:lvlText w:val="●"/>
      <w:lvlJc w:val="left"/>
      <w:pPr>
        <w:ind w:left="2880" w:hanging="360"/>
      </w:pPr>
    </w:lvl>
    <w:lvl w:ilvl="4" w:tplc="5FE2D826">
      <w:start w:val="1"/>
      <w:numFmt w:val="bullet"/>
      <w:lvlText w:val="○"/>
      <w:lvlJc w:val="left"/>
      <w:pPr>
        <w:ind w:left="3600" w:hanging="360"/>
      </w:pPr>
    </w:lvl>
    <w:lvl w:ilvl="5" w:tplc="BAC80D0C">
      <w:start w:val="1"/>
      <w:numFmt w:val="bullet"/>
      <w:lvlText w:val="■"/>
      <w:lvlJc w:val="left"/>
      <w:pPr>
        <w:ind w:left="4320" w:hanging="360"/>
      </w:pPr>
    </w:lvl>
    <w:lvl w:ilvl="6" w:tplc="FE28C8BE">
      <w:start w:val="1"/>
      <w:numFmt w:val="bullet"/>
      <w:lvlText w:val="●"/>
      <w:lvlJc w:val="left"/>
      <w:pPr>
        <w:ind w:left="5040" w:hanging="360"/>
      </w:pPr>
    </w:lvl>
    <w:lvl w:ilvl="7" w:tplc="9CD41D90">
      <w:start w:val="1"/>
      <w:numFmt w:val="bullet"/>
      <w:lvlText w:val="●"/>
      <w:lvlJc w:val="left"/>
      <w:pPr>
        <w:ind w:left="5760" w:hanging="360"/>
      </w:pPr>
    </w:lvl>
    <w:lvl w:ilvl="8" w:tplc="5C7A2194">
      <w:start w:val="1"/>
      <w:numFmt w:val="bullet"/>
      <w:lvlText w:val="●"/>
      <w:lvlJc w:val="left"/>
      <w:pPr>
        <w:ind w:left="6480" w:hanging="360"/>
      </w:pPr>
    </w:lvl>
  </w:abstractNum>
  <w:num w:numId="1">
    <w:abstractNumId w:val="1"/>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activeWritingStyle w:appName="MSWord" w:lang="da-DK" w:vendorID="64" w:dllVersion="131078" w:nlCheck="1" w:checkStyle="0"/>
  <w:activeWritingStyle w:appName="MSWord" w:lang="en-GB" w:vendorID="64" w:dllVersion="131078" w:nlCheck="1" w:checkStyle="1"/>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D2F"/>
    <w:rsid w:val="0002481A"/>
    <w:rsid w:val="001253C5"/>
    <w:rsid w:val="001424AD"/>
    <w:rsid w:val="0018200C"/>
    <w:rsid w:val="001D0B92"/>
    <w:rsid w:val="001D311E"/>
    <w:rsid w:val="00263BA3"/>
    <w:rsid w:val="00327FF7"/>
    <w:rsid w:val="00377C58"/>
    <w:rsid w:val="009E7C8C"/>
    <w:rsid w:val="00A71DA2"/>
    <w:rsid w:val="00CD4891"/>
    <w:rsid w:val="00F52D2F"/>
    <w:rsid w:val="00F91A9E"/>
    <w:rsid w:val="00FD5EC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4F2BA1-B10F-40CD-99A5-7AD371FEB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475569"/>
        <w:lang w:val="da-DK" w:eastAsia="da-D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qFormat/>
    <w:pPr>
      <w:spacing w:before="280" w:after="100"/>
      <w:outlineLvl w:val="0"/>
    </w:pPr>
    <w:rPr>
      <w:b/>
      <w:bCs/>
      <w:color w:val="FFFFFF"/>
      <w:sz w:val="30"/>
      <w:szCs w:val="30"/>
    </w:rPr>
  </w:style>
  <w:style w:type="paragraph" w:styleId="Overskrift2">
    <w:name w:val="heading 2"/>
    <w:qFormat/>
    <w:pPr>
      <w:spacing w:before="300" w:after="80"/>
      <w:outlineLvl w:val="1"/>
    </w:pPr>
    <w:rPr>
      <w:b/>
      <w:bCs/>
      <w:color w:val="1B2A4A"/>
      <w:sz w:val="24"/>
      <w:szCs w:val="24"/>
    </w:rPr>
  </w:style>
  <w:style w:type="paragraph" w:styleId="Overskrift3">
    <w:name w:val="heading 3"/>
    <w:qFormat/>
    <w:pPr>
      <w:outlineLvl w:val="2"/>
    </w:pPr>
    <w:rPr>
      <w:color w:val="1F4D78"/>
      <w:sz w:val="24"/>
      <w:szCs w:val="24"/>
    </w:rPr>
  </w:style>
  <w:style w:type="paragraph" w:styleId="Overskrift4">
    <w:name w:val="heading 4"/>
    <w:qFormat/>
    <w:pPr>
      <w:outlineLvl w:val="3"/>
    </w:pPr>
    <w:rPr>
      <w:i/>
      <w:iCs/>
      <w:color w:val="2E74B5"/>
    </w:rPr>
  </w:style>
  <w:style w:type="paragraph" w:styleId="Overskrift5">
    <w:name w:val="heading 5"/>
    <w:qFormat/>
    <w:pPr>
      <w:outlineLvl w:val="4"/>
    </w:pPr>
    <w:rPr>
      <w:color w:val="2E74B5"/>
    </w:rPr>
  </w:style>
  <w:style w:type="paragraph" w:styleId="Overskrift6">
    <w:name w:val="heading 6"/>
    <w:qFormat/>
    <w:pPr>
      <w:outlineLvl w:val="5"/>
    </w:pPr>
    <w:rPr>
      <w:color w:val="1F4D7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qFormat/>
    <w:rPr>
      <w:sz w:val="56"/>
      <w:szCs w:val="56"/>
    </w:rPr>
  </w:style>
  <w:style w:type="paragraph" w:customStyle="1" w:styleId="Strk1">
    <w:name w:val="Stærk1"/>
    <w:qFormat/>
    <w:rPr>
      <w:b/>
      <w:bCs/>
    </w:rPr>
  </w:style>
  <w:style w:type="paragraph" w:styleId="Listeafsnit">
    <w:name w:val="List Paragraph"/>
    <w:qFormat/>
  </w:style>
  <w:style w:type="character" w:styleId="Hyperlink">
    <w:name w:val="Hyperlink"/>
    <w:uiPriority w:val="99"/>
    <w:unhideWhenUsed/>
    <w:rPr>
      <w:color w:val="0563C1"/>
      <w:u w:val="single"/>
    </w:rPr>
  </w:style>
  <w:style w:type="character" w:styleId="Fodnotehenvisning">
    <w:name w:val="footnote reference"/>
    <w:uiPriority w:val="99"/>
    <w:semiHidden/>
    <w:unhideWhenUsed/>
    <w:rPr>
      <w:vertAlign w:val="superscript"/>
    </w:rPr>
  </w:style>
  <w:style w:type="paragraph" w:styleId="Fodnotetekst">
    <w:name w:val="footnote text"/>
    <w:link w:val="FodnotetekstTegn"/>
    <w:uiPriority w:val="99"/>
    <w:semiHidden/>
    <w:unhideWhenUsed/>
  </w:style>
  <w:style w:type="character" w:customStyle="1" w:styleId="FodnotetekstTegn">
    <w:name w:val="Fodnotetekst Tegn"/>
    <w:link w:val="Fodnotetekst"/>
    <w:uiPriority w:val="99"/>
    <w:semiHidden/>
    <w:unhideWhenUsed/>
    <w:rPr>
      <w:sz w:val="20"/>
      <w:szCs w:val="20"/>
    </w:rPr>
  </w:style>
  <w:style w:type="character" w:styleId="Slutnotehenvisning">
    <w:name w:val="endnote reference"/>
    <w:uiPriority w:val="99"/>
    <w:semiHidden/>
    <w:unhideWhenUsed/>
    <w:rPr>
      <w:vertAlign w:val="superscript"/>
    </w:rPr>
  </w:style>
  <w:style w:type="paragraph" w:styleId="Slutnotetekst">
    <w:name w:val="endnote text"/>
    <w:link w:val="SlutnotetekstTegn"/>
    <w:uiPriority w:val="99"/>
    <w:semiHidden/>
    <w:unhideWhenUsed/>
  </w:style>
  <w:style w:type="character" w:customStyle="1" w:styleId="SlutnotetekstTegn">
    <w:name w:val="Slutnotetekst Tegn"/>
    <w:link w:val="Slutnotetekst"/>
    <w:uiPriority w:val="99"/>
    <w:semiHidden/>
    <w:unhideWhenUsed/>
    <w:rPr>
      <w:sz w:val="20"/>
      <w:szCs w:val="20"/>
    </w:rPr>
  </w:style>
  <w:style w:type="paragraph" w:customStyle="1" w:styleId="font-claude-response-body">
    <w:name w:val="font-claude-response-body"/>
    <w:basedOn w:val="Normal"/>
    <w:rsid w:val="0002481A"/>
    <w:pPr>
      <w:spacing w:before="100" w:beforeAutospacing="1" w:after="100" w:afterAutospacing="1"/>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61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250</TotalTime>
  <Pages>14</Pages>
  <Words>4927</Words>
  <Characters>30055</Characters>
  <Application>Microsoft Office Word</Application>
  <DocSecurity>0</DocSecurity>
  <Lines>250</Lines>
  <Paragraphs>69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Martin Falck</cp:lastModifiedBy>
  <cp:revision>8</cp:revision>
  <dcterms:created xsi:type="dcterms:W3CDTF">2026-05-03T13:05:00Z</dcterms:created>
  <dcterms:modified xsi:type="dcterms:W3CDTF">2026-05-04T12:58:00Z</dcterms:modified>
</cp:coreProperties>
</file>